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B4" w:rsidRPr="00BE3AAE" w:rsidRDefault="00780333" w:rsidP="00256E05">
      <w:pPr>
        <w:rPr>
          <w:b/>
          <w:bCs/>
          <w:smallCaps/>
          <w:color w:val="FF0000"/>
          <w:lang w:val="en-US"/>
        </w:rPr>
      </w:pPr>
      <w:r>
        <w:rPr>
          <w:b/>
          <w:bCs/>
          <w:smallCaps/>
          <w:color w:val="FF0000"/>
          <w:lang w:val="en-US"/>
        </w:rPr>
        <w:t xml:space="preserve"> </w:t>
      </w:r>
    </w:p>
    <w:p w:rsidR="003C02B4" w:rsidRPr="00584256" w:rsidRDefault="003C02B4" w:rsidP="00256E05">
      <w:pPr>
        <w:pBdr>
          <w:top w:val="single" w:sz="12" w:space="1" w:color="auto"/>
        </w:pBdr>
        <w:rPr>
          <w:bCs/>
          <w:smallCaps/>
          <w:sz w:val="28"/>
          <w:szCs w:val="28"/>
          <w:lang w:val="en-US"/>
        </w:rPr>
      </w:pPr>
    </w:p>
    <w:p w:rsidR="00521306" w:rsidRDefault="00C941FE" w:rsidP="00256E05">
      <w:pPr>
        <w:jc w:val="center"/>
        <w:rPr>
          <w:b/>
          <w:bCs/>
          <w:smallCaps/>
          <w:sz w:val="28"/>
          <w:szCs w:val="28"/>
          <w:lang w:val="en-US"/>
        </w:rPr>
      </w:pPr>
      <w:r>
        <w:rPr>
          <w:b/>
          <w:bCs/>
          <w:iCs/>
          <w:smallCaps/>
          <w:sz w:val="28"/>
          <w:szCs w:val="28"/>
          <w:lang w:val="en-US"/>
        </w:rPr>
        <w:t>Derivation of Oil Palm Shell-based Adsorbent using H</w:t>
      </w:r>
      <w:r w:rsidRPr="00467672">
        <w:rPr>
          <w:b/>
          <w:bCs/>
          <w:iCs/>
          <w:smallCaps/>
          <w:sz w:val="28"/>
          <w:szCs w:val="28"/>
          <w:vertAlign w:val="subscript"/>
          <w:lang w:val="en-US"/>
        </w:rPr>
        <w:t>2</w:t>
      </w:r>
      <w:r>
        <w:rPr>
          <w:b/>
          <w:bCs/>
          <w:iCs/>
          <w:smallCaps/>
          <w:sz w:val="28"/>
          <w:szCs w:val="28"/>
          <w:lang w:val="en-US"/>
        </w:rPr>
        <w:t>SO</w:t>
      </w:r>
      <w:r w:rsidRPr="00467672">
        <w:rPr>
          <w:b/>
          <w:bCs/>
          <w:iCs/>
          <w:smallCaps/>
          <w:sz w:val="28"/>
          <w:szCs w:val="28"/>
          <w:vertAlign w:val="subscript"/>
          <w:lang w:val="en-US"/>
        </w:rPr>
        <w:t>4</w:t>
      </w:r>
      <w:r>
        <w:rPr>
          <w:b/>
          <w:bCs/>
          <w:iCs/>
          <w:smallCaps/>
          <w:sz w:val="28"/>
          <w:szCs w:val="28"/>
          <w:lang w:val="en-US"/>
        </w:rPr>
        <w:t xml:space="preserve"> Treatment for Removal </w:t>
      </w:r>
      <w:r w:rsidR="000804D2">
        <w:rPr>
          <w:b/>
          <w:bCs/>
          <w:iCs/>
          <w:smallCaps/>
          <w:sz w:val="28"/>
          <w:szCs w:val="28"/>
          <w:lang w:val="en-US"/>
        </w:rPr>
        <w:t xml:space="preserve">of </w:t>
      </w:r>
      <w:r>
        <w:rPr>
          <w:b/>
          <w:bCs/>
          <w:iCs/>
          <w:smallCaps/>
          <w:sz w:val="28"/>
          <w:szCs w:val="28"/>
          <w:lang w:val="en-US"/>
        </w:rPr>
        <w:t>Atrazine from Aqueous Solution</w:t>
      </w:r>
      <w:r w:rsidR="000804D2">
        <w:rPr>
          <w:b/>
          <w:bCs/>
          <w:iCs/>
          <w:smallCaps/>
          <w:sz w:val="28"/>
          <w:szCs w:val="28"/>
          <w:lang w:val="en-US"/>
        </w:rPr>
        <w:t>s</w:t>
      </w:r>
    </w:p>
    <w:p w:rsidR="00584256" w:rsidRPr="00584256" w:rsidRDefault="00584256" w:rsidP="00256E05">
      <w:pPr>
        <w:jc w:val="center"/>
        <w:rPr>
          <w:b/>
          <w:bCs/>
          <w:smallCaps/>
          <w:sz w:val="28"/>
          <w:szCs w:val="28"/>
          <w:lang w:val="en-US"/>
        </w:rPr>
      </w:pPr>
    </w:p>
    <w:p w:rsidR="00521306" w:rsidRPr="00584256" w:rsidRDefault="00467672" w:rsidP="00256E05">
      <w:pPr>
        <w:jc w:val="center"/>
        <w:rPr>
          <w:iCs/>
          <w:sz w:val="28"/>
          <w:szCs w:val="28"/>
          <w:vertAlign w:val="superscript"/>
          <w:lang w:val="en-US"/>
        </w:rPr>
      </w:pPr>
      <w:r>
        <w:rPr>
          <w:iCs/>
          <w:sz w:val="28"/>
          <w:szCs w:val="28"/>
          <w:lang w:val="en-US"/>
        </w:rPr>
        <w:t xml:space="preserve">Ivy </w:t>
      </w:r>
      <w:r w:rsidR="00256E05">
        <w:rPr>
          <w:iCs/>
          <w:sz w:val="28"/>
          <w:szCs w:val="28"/>
          <w:lang w:val="en-US"/>
        </w:rPr>
        <w:t>Tan Ai Wei</w:t>
      </w:r>
      <w:r w:rsidRPr="00467672">
        <w:rPr>
          <w:iCs/>
          <w:sz w:val="28"/>
          <w:szCs w:val="28"/>
          <w:vertAlign w:val="superscript"/>
          <w:lang w:val="en-US"/>
        </w:rPr>
        <w:t>1</w:t>
      </w:r>
      <w:r w:rsidR="00584256" w:rsidRPr="00584256">
        <w:rPr>
          <w:iCs/>
          <w:sz w:val="28"/>
          <w:szCs w:val="28"/>
          <w:lang w:val="en-US"/>
        </w:rPr>
        <w:t>*</w:t>
      </w:r>
      <w:r w:rsidR="00913762" w:rsidRPr="00584256">
        <w:rPr>
          <w:iCs/>
          <w:sz w:val="28"/>
          <w:szCs w:val="28"/>
          <w:lang w:val="en-US"/>
        </w:rPr>
        <w:t xml:space="preserve">, </w:t>
      </w:r>
      <w:r w:rsidR="00C941FE">
        <w:rPr>
          <w:iCs/>
          <w:sz w:val="28"/>
          <w:szCs w:val="28"/>
          <w:lang w:val="en-US"/>
        </w:rPr>
        <w:t>L</w:t>
      </w:r>
      <w:r>
        <w:rPr>
          <w:iCs/>
          <w:sz w:val="28"/>
          <w:szCs w:val="28"/>
          <w:lang w:val="en-US"/>
        </w:rPr>
        <w:t xml:space="preserve">eonard </w:t>
      </w:r>
      <w:r w:rsidR="005303E4" w:rsidRPr="005303E4">
        <w:rPr>
          <w:iCs/>
          <w:sz w:val="28"/>
          <w:szCs w:val="28"/>
          <w:lang w:val="en-US"/>
        </w:rPr>
        <w:t xml:space="preserve">Lim </w:t>
      </w:r>
      <w:proofErr w:type="spellStart"/>
      <w:r w:rsidR="005303E4" w:rsidRPr="005303E4">
        <w:rPr>
          <w:iCs/>
          <w:sz w:val="28"/>
          <w:szCs w:val="28"/>
          <w:lang w:val="en-US"/>
        </w:rPr>
        <w:t>Lik</w:t>
      </w:r>
      <w:proofErr w:type="spellEnd"/>
      <w:r w:rsidR="005303E4" w:rsidRPr="005303E4">
        <w:rPr>
          <w:iCs/>
          <w:sz w:val="28"/>
          <w:szCs w:val="28"/>
          <w:lang w:val="en-US"/>
        </w:rPr>
        <w:t xml:space="preserve"> Pueh</w:t>
      </w:r>
      <w:r w:rsidRPr="00467672">
        <w:rPr>
          <w:iCs/>
          <w:sz w:val="28"/>
          <w:szCs w:val="28"/>
          <w:vertAlign w:val="superscript"/>
          <w:lang w:val="en-US"/>
        </w:rPr>
        <w:t>2</w:t>
      </w:r>
      <w:r w:rsidR="0011337B" w:rsidRPr="00584256">
        <w:rPr>
          <w:iCs/>
          <w:sz w:val="28"/>
          <w:szCs w:val="28"/>
          <w:lang w:val="en-US"/>
        </w:rPr>
        <w:t xml:space="preserve">, </w:t>
      </w:r>
      <w:r w:rsidR="00C941FE">
        <w:rPr>
          <w:iCs/>
          <w:sz w:val="28"/>
          <w:szCs w:val="28"/>
          <w:lang w:val="en-US"/>
        </w:rPr>
        <w:t>N</w:t>
      </w:r>
      <w:r>
        <w:rPr>
          <w:iCs/>
          <w:sz w:val="28"/>
          <w:szCs w:val="28"/>
          <w:lang w:val="en-US"/>
        </w:rPr>
        <w:t xml:space="preserve">or </w:t>
      </w:r>
      <w:proofErr w:type="spellStart"/>
      <w:r>
        <w:rPr>
          <w:iCs/>
          <w:sz w:val="28"/>
          <w:szCs w:val="28"/>
          <w:lang w:val="en-US"/>
        </w:rPr>
        <w:t>Azalina</w:t>
      </w:r>
      <w:proofErr w:type="spellEnd"/>
      <w:r w:rsidR="00C941FE">
        <w:rPr>
          <w:iCs/>
          <w:sz w:val="28"/>
          <w:szCs w:val="28"/>
          <w:lang w:val="en-US"/>
        </w:rPr>
        <w:t xml:space="preserve"> Rosli</w:t>
      </w:r>
      <w:r w:rsidRPr="00467672">
        <w:rPr>
          <w:iCs/>
          <w:sz w:val="28"/>
          <w:szCs w:val="28"/>
          <w:vertAlign w:val="superscript"/>
          <w:lang w:val="en-US"/>
        </w:rPr>
        <w:t>2</w:t>
      </w:r>
      <w:r w:rsidR="005303E4">
        <w:rPr>
          <w:iCs/>
          <w:sz w:val="28"/>
          <w:szCs w:val="28"/>
          <w:lang w:val="en-US"/>
        </w:rPr>
        <w:t xml:space="preserve"> &amp;</w:t>
      </w:r>
      <w:r w:rsidR="00C941FE">
        <w:rPr>
          <w:iCs/>
          <w:sz w:val="28"/>
          <w:szCs w:val="28"/>
          <w:lang w:val="en-US"/>
        </w:rPr>
        <w:t xml:space="preserve"> Ling </w:t>
      </w:r>
      <w:proofErr w:type="spellStart"/>
      <w:r>
        <w:rPr>
          <w:iCs/>
          <w:sz w:val="28"/>
          <w:szCs w:val="28"/>
          <w:lang w:val="en-US"/>
        </w:rPr>
        <w:t>Tiew</w:t>
      </w:r>
      <w:proofErr w:type="spellEnd"/>
      <w:r>
        <w:rPr>
          <w:iCs/>
          <w:sz w:val="28"/>
          <w:szCs w:val="28"/>
          <w:lang w:val="en-US"/>
        </w:rPr>
        <w:t xml:space="preserve"> Huang</w:t>
      </w:r>
      <w:r w:rsidRPr="00467672">
        <w:rPr>
          <w:iCs/>
          <w:sz w:val="28"/>
          <w:szCs w:val="28"/>
          <w:vertAlign w:val="superscript"/>
          <w:lang w:val="en-US"/>
        </w:rPr>
        <w:t>1</w:t>
      </w:r>
    </w:p>
    <w:p w:rsidR="00973AD4" w:rsidRPr="00584256" w:rsidRDefault="00973AD4" w:rsidP="00256E05">
      <w:pPr>
        <w:jc w:val="both"/>
        <w:rPr>
          <w:sz w:val="28"/>
          <w:szCs w:val="28"/>
          <w:vertAlign w:val="superscript"/>
          <w:lang w:val="en-US"/>
        </w:rPr>
      </w:pPr>
    </w:p>
    <w:p w:rsidR="00467672" w:rsidRPr="0076365A" w:rsidRDefault="00467672" w:rsidP="00256E05">
      <w:pPr>
        <w:contextualSpacing/>
        <w:jc w:val="center"/>
        <w:rPr>
          <w:i/>
          <w:sz w:val="20"/>
          <w:szCs w:val="20"/>
          <w:lang w:val="en-US"/>
        </w:rPr>
      </w:pPr>
      <w:r w:rsidRPr="00467672">
        <w:rPr>
          <w:i/>
          <w:sz w:val="20"/>
          <w:szCs w:val="20"/>
          <w:vertAlign w:val="superscript"/>
          <w:lang w:val="en-US"/>
        </w:rPr>
        <w:t xml:space="preserve">1 </w:t>
      </w:r>
      <w:r>
        <w:rPr>
          <w:i/>
          <w:sz w:val="20"/>
          <w:szCs w:val="20"/>
          <w:lang w:val="en-US"/>
        </w:rPr>
        <w:t xml:space="preserve">Department of Chemical Engineering and Energy Sustainability, </w:t>
      </w:r>
      <w:r w:rsidRPr="0076365A">
        <w:rPr>
          <w:i/>
          <w:sz w:val="20"/>
          <w:szCs w:val="20"/>
          <w:lang w:val="en-US"/>
        </w:rPr>
        <w:t>Faculty of Engineering, Universiti Malaysia</w:t>
      </w:r>
      <w:r>
        <w:rPr>
          <w:i/>
          <w:sz w:val="20"/>
          <w:szCs w:val="20"/>
          <w:lang w:val="en-US"/>
        </w:rPr>
        <w:t xml:space="preserve"> Sarawak</w:t>
      </w:r>
      <w:r w:rsidRPr="0076365A">
        <w:rPr>
          <w:i/>
          <w:sz w:val="20"/>
          <w:szCs w:val="20"/>
          <w:lang w:val="en-US"/>
        </w:rPr>
        <w:t xml:space="preserve">, </w:t>
      </w:r>
      <w:r>
        <w:rPr>
          <w:i/>
          <w:sz w:val="20"/>
          <w:szCs w:val="20"/>
          <w:lang w:val="en-US"/>
        </w:rPr>
        <w:t>94300 Kota Samarahan, Sarawak</w:t>
      </w:r>
      <w:r w:rsidRPr="0076365A">
        <w:rPr>
          <w:i/>
          <w:sz w:val="20"/>
          <w:szCs w:val="20"/>
          <w:lang w:val="en-US"/>
        </w:rPr>
        <w:t>, Malaysia</w:t>
      </w:r>
    </w:p>
    <w:p w:rsidR="00521306" w:rsidRPr="0076365A" w:rsidRDefault="00467672" w:rsidP="00256E05">
      <w:pPr>
        <w:contextualSpacing/>
        <w:jc w:val="center"/>
        <w:rPr>
          <w:i/>
          <w:sz w:val="20"/>
          <w:szCs w:val="20"/>
          <w:lang w:val="en-US"/>
        </w:rPr>
      </w:pPr>
      <w:r w:rsidRPr="00467672">
        <w:rPr>
          <w:i/>
          <w:sz w:val="20"/>
          <w:szCs w:val="20"/>
          <w:vertAlign w:val="superscript"/>
          <w:lang w:val="en-US"/>
        </w:rPr>
        <w:t xml:space="preserve">2 </w:t>
      </w:r>
      <w:r>
        <w:rPr>
          <w:i/>
          <w:sz w:val="20"/>
          <w:szCs w:val="20"/>
          <w:lang w:val="en-US"/>
        </w:rPr>
        <w:t xml:space="preserve">Department of Civil Engineering, </w:t>
      </w:r>
      <w:r w:rsidR="00521306" w:rsidRPr="0076365A">
        <w:rPr>
          <w:i/>
          <w:sz w:val="20"/>
          <w:szCs w:val="20"/>
          <w:lang w:val="en-US"/>
        </w:rPr>
        <w:t>Faculty of Engineering, Universiti Malaysia</w:t>
      </w:r>
      <w:r w:rsidR="00C941FE">
        <w:rPr>
          <w:i/>
          <w:sz w:val="20"/>
          <w:szCs w:val="20"/>
          <w:lang w:val="en-US"/>
        </w:rPr>
        <w:t xml:space="preserve"> Sarawak</w:t>
      </w:r>
      <w:r w:rsidR="00521306" w:rsidRPr="0076365A">
        <w:rPr>
          <w:i/>
          <w:sz w:val="20"/>
          <w:szCs w:val="20"/>
          <w:lang w:val="en-US"/>
        </w:rPr>
        <w:t>,</w:t>
      </w:r>
      <w:r w:rsidR="00973AD4" w:rsidRPr="0076365A">
        <w:rPr>
          <w:i/>
          <w:sz w:val="20"/>
          <w:szCs w:val="20"/>
          <w:lang w:val="en-US"/>
        </w:rPr>
        <w:t xml:space="preserve"> </w:t>
      </w:r>
      <w:r w:rsidR="00C941FE">
        <w:rPr>
          <w:i/>
          <w:sz w:val="20"/>
          <w:szCs w:val="20"/>
          <w:lang w:val="en-US"/>
        </w:rPr>
        <w:t>94300 Kota Samarahan, Sarawak</w:t>
      </w:r>
      <w:r w:rsidR="00521306" w:rsidRPr="0076365A">
        <w:rPr>
          <w:i/>
          <w:sz w:val="20"/>
          <w:szCs w:val="20"/>
          <w:lang w:val="en-US"/>
        </w:rPr>
        <w:t>, Malaysia</w:t>
      </w:r>
    </w:p>
    <w:p w:rsidR="00122074" w:rsidRDefault="00122074" w:rsidP="00256E05">
      <w:pPr>
        <w:jc w:val="center"/>
        <w:rPr>
          <w:sz w:val="20"/>
          <w:szCs w:val="20"/>
          <w:lang w:val="en-US"/>
        </w:rPr>
      </w:pPr>
    </w:p>
    <w:p w:rsidR="00654188" w:rsidRDefault="0062694D" w:rsidP="00256E05">
      <w:pPr>
        <w:jc w:val="center"/>
        <w:rPr>
          <w:sz w:val="20"/>
          <w:szCs w:val="20"/>
          <w:lang w:val="en-US"/>
        </w:rPr>
      </w:pPr>
      <w:r>
        <w:rPr>
          <w:sz w:val="20"/>
          <w:szCs w:val="20"/>
          <w:lang w:val="en-US"/>
        </w:rPr>
        <w:t>*</w:t>
      </w:r>
      <w:r w:rsidR="00654188" w:rsidRPr="0087367C">
        <w:rPr>
          <w:sz w:val="20"/>
          <w:szCs w:val="20"/>
          <w:lang w:val="en-US"/>
        </w:rPr>
        <w:t>Corresponding Author</w:t>
      </w:r>
      <w:r w:rsidR="00654188" w:rsidRPr="00654188">
        <w:rPr>
          <w:sz w:val="20"/>
          <w:szCs w:val="20"/>
          <w:lang w:val="en-US"/>
        </w:rPr>
        <w:t xml:space="preserve">: </w:t>
      </w:r>
      <w:r w:rsidR="00C941FE" w:rsidRPr="0087367C">
        <w:rPr>
          <w:i/>
          <w:sz w:val="20"/>
          <w:szCs w:val="20"/>
          <w:lang w:val="en-US"/>
        </w:rPr>
        <w:t>awitan</w:t>
      </w:r>
      <w:r w:rsidR="00122074" w:rsidRPr="0087367C">
        <w:rPr>
          <w:i/>
          <w:sz w:val="20"/>
          <w:szCs w:val="20"/>
          <w:lang w:val="en-US"/>
        </w:rPr>
        <w:t>@</w:t>
      </w:r>
      <w:r w:rsidR="00C941FE" w:rsidRPr="0087367C">
        <w:rPr>
          <w:i/>
          <w:sz w:val="20"/>
          <w:szCs w:val="20"/>
          <w:lang w:val="en-US"/>
        </w:rPr>
        <w:t>feng.unimas</w:t>
      </w:r>
      <w:r w:rsidR="00122074" w:rsidRPr="0087367C">
        <w:rPr>
          <w:i/>
          <w:sz w:val="20"/>
          <w:szCs w:val="20"/>
          <w:lang w:val="en-US"/>
        </w:rPr>
        <w:t>.my</w:t>
      </w:r>
    </w:p>
    <w:p w:rsidR="003C02B4" w:rsidRDefault="003C02B4" w:rsidP="00256E05">
      <w:pPr>
        <w:jc w:val="center"/>
        <w:rPr>
          <w:sz w:val="20"/>
          <w:szCs w:val="20"/>
          <w:lang w:val="en-US"/>
        </w:rPr>
      </w:pPr>
    </w:p>
    <w:p w:rsidR="003C02B4" w:rsidRPr="00654188" w:rsidRDefault="003C02B4" w:rsidP="00256E05">
      <w:pPr>
        <w:pBdr>
          <w:top w:val="single" w:sz="12" w:space="1" w:color="auto"/>
        </w:pBdr>
        <w:rPr>
          <w:sz w:val="20"/>
          <w:szCs w:val="20"/>
          <w:lang w:val="en-US"/>
        </w:rPr>
      </w:pPr>
    </w:p>
    <w:p w:rsidR="00521306" w:rsidRPr="002F516F" w:rsidRDefault="00973AD4" w:rsidP="00256E05">
      <w:pPr>
        <w:autoSpaceDE w:val="0"/>
        <w:autoSpaceDN w:val="0"/>
        <w:adjustRightInd w:val="0"/>
        <w:jc w:val="both"/>
        <w:rPr>
          <w:sz w:val="20"/>
          <w:szCs w:val="20"/>
        </w:rPr>
      </w:pPr>
      <w:r w:rsidRPr="00D97E24">
        <w:rPr>
          <w:b/>
          <w:bCs/>
          <w:sz w:val="20"/>
          <w:szCs w:val="22"/>
          <w:lang w:val="en-US"/>
        </w:rPr>
        <w:t xml:space="preserve">Abstract: </w:t>
      </w:r>
      <w:r w:rsidR="00320513" w:rsidRPr="00320513">
        <w:rPr>
          <w:sz w:val="20"/>
          <w:szCs w:val="20"/>
        </w:rPr>
        <w:t>Activated carbon is a prominent material for adsorption of atrazine, however its usage is restricted due to the high cost. Thus, alternative adsorbent derived from agricultural waste has been investigated. This study was conducted to investigate the feasibility of oil palm shell-based adsorbent to remove atrazine from aqueous solutions. Oil palm shell-based adsorbent was prepared using H</w:t>
      </w:r>
      <w:r w:rsidR="00320513" w:rsidRPr="00467672">
        <w:rPr>
          <w:sz w:val="20"/>
          <w:szCs w:val="20"/>
          <w:vertAlign w:val="subscript"/>
        </w:rPr>
        <w:t>2</w:t>
      </w:r>
      <w:r w:rsidR="00320513" w:rsidRPr="00320513">
        <w:rPr>
          <w:sz w:val="20"/>
          <w:szCs w:val="20"/>
        </w:rPr>
        <w:t>SO</w:t>
      </w:r>
      <w:r w:rsidR="00320513" w:rsidRPr="00467672">
        <w:rPr>
          <w:sz w:val="20"/>
          <w:szCs w:val="20"/>
          <w:vertAlign w:val="subscript"/>
        </w:rPr>
        <w:t>4</w:t>
      </w:r>
      <w:r w:rsidR="00320513" w:rsidRPr="00320513">
        <w:rPr>
          <w:sz w:val="20"/>
          <w:szCs w:val="20"/>
        </w:rPr>
        <w:t xml:space="preserve"> treatment. The adsorbent was characterized for the surface morphology and surface chemistry via scanning electron microscopy (SEM) and Fourier transform infrared (FTIR) spectroscopy. SEM micrographs confirmed that the H</w:t>
      </w:r>
      <w:r w:rsidR="00320513" w:rsidRPr="00467672">
        <w:rPr>
          <w:sz w:val="20"/>
          <w:szCs w:val="20"/>
          <w:vertAlign w:val="subscript"/>
        </w:rPr>
        <w:t>2</w:t>
      </w:r>
      <w:r w:rsidR="00320513" w:rsidRPr="00320513">
        <w:rPr>
          <w:sz w:val="20"/>
          <w:szCs w:val="20"/>
        </w:rPr>
        <w:t>SO</w:t>
      </w:r>
      <w:r w:rsidR="00320513" w:rsidRPr="00467672">
        <w:rPr>
          <w:sz w:val="20"/>
          <w:szCs w:val="20"/>
          <w:vertAlign w:val="subscript"/>
        </w:rPr>
        <w:t>4</w:t>
      </w:r>
      <w:r w:rsidR="00320513" w:rsidRPr="00320513">
        <w:rPr>
          <w:sz w:val="20"/>
          <w:szCs w:val="20"/>
        </w:rPr>
        <w:t xml:space="preserve"> treatment developed porosity on the surface of the adsorbent. The FTIR spectrum obtained for the adsorbent before and after the treatment was almost similar. Batch adsorption experiments were conducted to determine the effects of initial atrazine concentration (5 - 30 mg/L), contact time, adsorbent dosage (0.2 – 2.0 g) and solution pH (pH 2 - 12) on the adsorption uptake of the adsorbent for atrazine. The adsorption uptake of atrazine increased with increasing initial concentration. The percentage of removal of atrazine increased with increasing adsorbent dosage, but it decreased as the solution pH increased. The equilibrium data were well described by the Freundlich isotherm model. Kinetic studies showed that the adsorption of atrazine on the adsorbent followed the pseudo-second-order kinetic model. Based on the experimental results, it was evident that the oil palm shell-based adsorbent derived in this work might be employed as a low cost adsorbent for removal of atrazine from aqueous solutions.</w:t>
      </w:r>
      <w:r w:rsidR="009F5C4B">
        <w:rPr>
          <w:sz w:val="20"/>
          <w:szCs w:val="20"/>
        </w:rPr>
        <w:t xml:space="preserve"> </w:t>
      </w:r>
    </w:p>
    <w:p w:rsidR="0020153D" w:rsidRDefault="0020153D" w:rsidP="00256E05">
      <w:pPr>
        <w:jc w:val="both"/>
        <w:rPr>
          <w:b/>
          <w:bCs/>
          <w:sz w:val="22"/>
          <w:szCs w:val="22"/>
          <w:lang w:val="en-US"/>
        </w:rPr>
      </w:pPr>
    </w:p>
    <w:p w:rsidR="00521306" w:rsidRPr="00C57E8D" w:rsidRDefault="00521306" w:rsidP="00256E05">
      <w:pPr>
        <w:jc w:val="both"/>
        <w:rPr>
          <w:bCs/>
          <w:i/>
          <w:sz w:val="20"/>
          <w:szCs w:val="20"/>
          <w:lang w:val="en-US"/>
        </w:rPr>
      </w:pPr>
      <w:r w:rsidRPr="00C57E8D">
        <w:rPr>
          <w:b/>
          <w:bCs/>
          <w:sz w:val="20"/>
          <w:szCs w:val="20"/>
          <w:lang w:val="en-US"/>
        </w:rPr>
        <w:t xml:space="preserve">Keywords: </w:t>
      </w:r>
      <w:r w:rsidR="00320513">
        <w:rPr>
          <w:i/>
          <w:sz w:val="20"/>
          <w:szCs w:val="20"/>
        </w:rPr>
        <w:t xml:space="preserve">Adsorption, </w:t>
      </w:r>
      <w:r w:rsidR="00256E05">
        <w:rPr>
          <w:i/>
          <w:sz w:val="20"/>
          <w:szCs w:val="20"/>
        </w:rPr>
        <w:t>a</w:t>
      </w:r>
      <w:r w:rsidR="00320513">
        <w:rPr>
          <w:i/>
          <w:sz w:val="20"/>
          <w:szCs w:val="20"/>
        </w:rPr>
        <w:t>trazine,</w:t>
      </w:r>
      <w:r w:rsidR="00320513" w:rsidRPr="00320513">
        <w:rPr>
          <w:i/>
          <w:sz w:val="20"/>
          <w:szCs w:val="20"/>
        </w:rPr>
        <w:t xml:space="preserve"> </w:t>
      </w:r>
      <w:r w:rsidR="00256E05">
        <w:rPr>
          <w:i/>
          <w:sz w:val="20"/>
          <w:szCs w:val="20"/>
        </w:rPr>
        <w:t>i</w:t>
      </w:r>
      <w:r w:rsidR="00320513" w:rsidRPr="00320513">
        <w:rPr>
          <w:i/>
          <w:sz w:val="20"/>
          <w:szCs w:val="20"/>
        </w:rPr>
        <w:t>s</w:t>
      </w:r>
      <w:r w:rsidR="00467672">
        <w:rPr>
          <w:i/>
          <w:sz w:val="20"/>
          <w:szCs w:val="20"/>
        </w:rPr>
        <w:t xml:space="preserve">otherm, </w:t>
      </w:r>
      <w:r w:rsidR="00256E05">
        <w:rPr>
          <w:i/>
          <w:sz w:val="20"/>
          <w:szCs w:val="20"/>
        </w:rPr>
        <w:t>k</w:t>
      </w:r>
      <w:r w:rsidR="00467672">
        <w:rPr>
          <w:i/>
          <w:sz w:val="20"/>
          <w:szCs w:val="20"/>
        </w:rPr>
        <w:t xml:space="preserve">inetic, </w:t>
      </w:r>
      <w:r w:rsidR="00256E05">
        <w:rPr>
          <w:i/>
          <w:sz w:val="20"/>
          <w:szCs w:val="20"/>
        </w:rPr>
        <w:t>o</w:t>
      </w:r>
      <w:r w:rsidR="00320513">
        <w:rPr>
          <w:i/>
          <w:sz w:val="20"/>
          <w:szCs w:val="20"/>
        </w:rPr>
        <w:t xml:space="preserve">il </w:t>
      </w:r>
      <w:r w:rsidR="00256E05">
        <w:rPr>
          <w:i/>
          <w:sz w:val="20"/>
          <w:szCs w:val="20"/>
        </w:rPr>
        <w:t>p</w:t>
      </w:r>
      <w:r w:rsidR="00320513">
        <w:rPr>
          <w:i/>
          <w:sz w:val="20"/>
          <w:szCs w:val="20"/>
        </w:rPr>
        <w:t xml:space="preserve">alm </w:t>
      </w:r>
      <w:r w:rsidR="00256E05">
        <w:rPr>
          <w:i/>
          <w:sz w:val="20"/>
          <w:szCs w:val="20"/>
        </w:rPr>
        <w:t>s</w:t>
      </w:r>
      <w:r w:rsidR="00320513">
        <w:rPr>
          <w:i/>
          <w:sz w:val="20"/>
          <w:szCs w:val="20"/>
        </w:rPr>
        <w:t>hell</w:t>
      </w:r>
    </w:p>
    <w:p w:rsidR="00521306" w:rsidRDefault="00521306" w:rsidP="00256E05">
      <w:pPr>
        <w:rPr>
          <w:b/>
          <w:bCs/>
          <w:lang w:val="en-US"/>
        </w:rPr>
      </w:pPr>
    </w:p>
    <w:p w:rsidR="00584256" w:rsidRDefault="00584256" w:rsidP="00256E05">
      <w:pPr>
        <w:rPr>
          <w:b/>
          <w:bCs/>
          <w:lang w:val="en-US"/>
        </w:rPr>
      </w:pPr>
    </w:p>
    <w:p w:rsidR="00521306" w:rsidRPr="00584256" w:rsidRDefault="007660FC" w:rsidP="00256E05">
      <w:pPr>
        <w:tabs>
          <w:tab w:val="left" w:pos="720"/>
          <w:tab w:val="left" w:pos="1440"/>
          <w:tab w:val="center" w:pos="3912"/>
        </w:tabs>
        <w:ind w:left="480" w:hanging="480"/>
        <w:rPr>
          <w:b/>
          <w:bCs/>
          <w:sz w:val="22"/>
          <w:szCs w:val="22"/>
          <w:lang w:val="en-US"/>
        </w:rPr>
      </w:pPr>
      <w:r w:rsidRPr="00584256">
        <w:rPr>
          <w:b/>
          <w:bCs/>
          <w:sz w:val="22"/>
          <w:szCs w:val="22"/>
          <w:lang w:val="en-US"/>
        </w:rPr>
        <w:t>1.0</w:t>
      </w:r>
      <w:r w:rsidRPr="00584256">
        <w:rPr>
          <w:b/>
          <w:bCs/>
          <w:sz w:val="22"/>
          <w:szCs w:val="22"/>
          <w:lang w:val="en-US"/>
        </w:rPr>
        <w:tab/>
      </w:r>
      <w:r w:rsidR="00256E05">
        <w:rPr>
          <w:b/>
          <w:bCs/>
          <w:sz w:val="22"/>
          <w:szCs w:val="22"/>
          <w:lang w:val="en-US"/>
        </w:rPr>
        <w:tab/>
      </w:r>
      <w:r w:rsidRPr="00584256">
        <w:rPr>
          <w:b/>
          <w:bCs/>
          <w:sz w:val="22"/>
          <w:szCs w:val="22"/>
          <w:lang w:val="en-US"/>
        </w:rPr>
        <w:t>Introduction</w:t>
      </w:r>
      <w:r w:rsidR="007520A9">
        <w:rPr>
          <w:b/>
          <w:bCs/>
          <w:sz w:val="22"/>
          <w:szCs w:val="22"/>
          <w:lang w:val="en-US"/>
        </w:rPr>
        <w:tab/>
      </w:r>
    </w:p>
    <w:p w:rsidR="00D97E24" w:rsidRPr="00584256" w:rsidRDefault="00D97E24" w:rsidP="00256E05">
      <w:pPr>
        <w:autoSpaceDE w:val="0"/>
        <w:autoSpaceDN w:val="0"/>
        <w:adjustRightInd w:val="0"/>
        <w:jc w:val="both"/>
        <w:rPr>
          <w:bCs/>
          <w:sz w:val="22"/>
          <w:szCs w:val="22"/>
          <w:lang w:val="en-US"/>
        </w:rPr>
      </w:pPr>
    </w:p>
    <w:p w:rsidR="00584256" w:rsidRDefault="00320513" w:rsidP="00256E05">
      <w:pPr>
        <w:jc w:val="both"/>
        <w:rPr>
          <w:sz w:val="22"/>
          <w:szCs w:val="22"/>
        </w:rPr>
      </w:pPr>
      <w:r w:rsidRPr="00320513">
        <w:rPr>
          <w:sz w:val="22"/>
          <w:szCs w:val="22"/>
        </w:rPr>
        <w:t xml:space="preserve">Atrazine (2-chloro-4-(ethylamino)-6-(isopropylamino)-s-triazine) is a chlorinated s-triazine group of herbicide and is extensively used over the world (Ligy and Pranab, </w:t>
      </w:r>
      <w:r w:rsidRPr="00320513">
        <w:rPr>
          <w:sz w:val="22"/>
          <w:szCs w:val="22"/>
        </w:rPr>
        <w:lastRenderedPageBreak/>
        <w:t xml:space="preserve">2006). Atrazine is used extensively as a pre- and post-emergent treatment to control broadleaf and grassy weeds on both agricultural and non-agricultural land (Jamil </w:t>
      </w:r>
      <w:r w:rsidR="00B902EC" w:rsidRPr="00B902EC">
        <w:rPr>
          <w:i/>
          <w:sz w:val="22"/>
          <w:szCs w:val="22"/>
        </w:rPr>
        <w:t>et al</w:t>
      </w:r>
      <w:r w:rsidRPr="00320513">
        <w:rPr>
          <w:sz w:val="22"/>
          <w:szCs w:val="22"/>
        </w:rPr>
        <w:t>., 2011; Mudhoo and Garg, 2011). However, agricultural use of pesticides negatively impacts water quality and poses environmental pollution, even though its use is in a limited amount of compound (Aydinalp and Porca, 2004). Adsorption technique is favourable for atrazine removal due to its simplicity as well as the availability of a wide range of adsorbents. Commercial activated carbon has high adsorption capacity for removal of atrazine. However, the major drawback is its high cost of production, making its usage in removal of atrazine less attractive. Thus, there is a demand for alternative adsorbents, which are of inexpensive materials such as agricultural wastes. Since oil palm shell is abundant in Malaysia, therefore this study aims to investigate the feasibility of oil palm shell-based low cost adsorbent for removal of atrazine from aqueous solutions.</w:t>
      </w:r>
    </w:p>
    <w:p w:rsidR="00D61278" w:rsidRDefault="00D61278" w:rsidP="00256E05">
      <w:pPr>
        <w:autoSpaceDE w:val="0"/>
        <w:autoSpaceDN w:val="0"/>
        <w:adjustRightInd w:val="0"/>
        <w:ind w:firstLine="720"/>
        <w:jc w:val="both"/>
        <w:rPr>
          <w:sz w:val="22"/>
          <w:szCs w:val="22"/>
        </w:rPr>
      </w:pPr>
    </w:p>
    <w:p w:rsidR="00584256" w:rsidRPr="00584256" w:rsidRDefault="00584256" w:rsidP="00256E05">
      <w:pPr>
        <w:autoSpaceDE w:val="0"/>
        <w:autoSpaceDN w:val="0"/>
        <w:adjustRightInd w:val="0"/>
        <w:ind w:firstLine="720"/>
        <w:jc w:val="both"/>
        <w:rPr>
          <w:sz w:val="22"/>
          <w:szCs w:val="22"/>
        </w:rPr>
      </w:pPr>
    </w:p>
    <w:p w:rsidR="00D97E24" w:rsidRDefault="007660FC" w:rsidP="00256E05">
      <w:pPr>
        <w:tabs>
          <w:tab w:val="left" w:pos="540"/>
        </w:tabs>
        <w:jc w:val="both"/>
        <w:rPr>
          <w:b/>
          <w:bCs/>
          <w:sz w:val="22"/>
          <w:szCs w:val="22"/>
        </w:rPr>
      </w:pPr>
      <w:r w:rsidRPr="00584256">
        <w:rPr>
          <w:b/>
          <w:bCs/>
          <w:sz w:val="22"/>
          <w:szCs w:val="22"/>
        </w:rPr>
        <w:t xml:space="preserve">2.0 </w:t>
      </w:r>
      <w:r w:rsidR="00256E05">
        <w:rPr>
          <w:b/>
          <w:bCs/>
          <w:sz w:val="22"/>
          <w:szCs w:val="22"/>
        </w:rPr>
        <w:tab/>
      </w:r>
      <w:r w:rsidR="00256E05">
        <w:rPr>
          <w:b/>
          <w:bCs/>
          <w:sz w:val="22"/>
          <w:szCs w:val="22"/>
        </w:rPr>
        <w:tab/>
      </w:r>
      <w:r w:rsidR="00320513" w:rsidRPr="00320513">
        <w:rPr>
          <w:b/>
          <w:bCs/>
          <w:sz w:val="22"/>
          <w:szCs w:val="22"/>
        </w:rPr>
        <w:t>Materials and Methods</w:t>
      </w:r>
    </w:p>
    <w:p w:rsidR="00256E05" w:rsidRDefault="00256E05" w:rsidP="00256E05">
      <w:pPr>
        <w:tabs>
          <w:tab w:val="left" w:pos="540"/>
        </w:tabs>
        <w:jc w:val="both"/>
        <w:rPr>
          <w:bCs/>
          <w:i/>
          <w:sz w:val="22"/>
          <w:szCs w:val="22"/>
        </w:rPr>
      </w:pPr>
    </w:p>
    <w:p w:rsidR="00083E3E" w:rsidRPr="00083E3E" w:rsidRDefault="00083E3E" w:rsidP="00256E05">
      <w:pPr>
        <w:tabs>
          <w:tab w:val="left" w:pos="540"/>
        </w:tabs>
        <w:jc w:val="both"/>
        <w:rPr>
          <w:bCs/>
          <w:i/>
          <w:sz w:val="22"/>
          <w:szCs w:val="22"/>
        </w:rPr>
      </w:pPr>
      <w:r w:rsidRPr="00083E3E">
        <w:rPr>
          <w:bCs/>
          <w:i/>
          <w:sz w:val="22"/>
          <w:szCs w:val="22"/>
        </w:rPr>
        <w:t>2.1</w:t>
      </w:r>
      <w:r w:rsidRPr="00083E3E">
        <w:rPr>
          <w:bCs/>
          <w:i/>
          <w:sz w:val="22"/>
          <w:szCs w:val="22"/>
        </w:rPr>
        <w:tab/>
      </w:r>
      <w:r w:rsidR="00256E05">
        <w:rPr>
          <w:bCs/>
          <w:i/>
          <w:sz w:val="22"/>
          <w:szCs w:val="22"/>
        </w:rPr>
        <w:tab/>
      </w:r>
      <w:r w:rsidRPr="00083E3E">
        <w:rPr>
          <w:bCs/>
          <w:i/>
          <w:sz w:val="22"/>
          <w:szCs w:val="22"/>
        </w:rPr>
        <w:t>Materials</w:t>
      </w:r>
    </w:p>
    <w:p w:rsidR="00D97E24" w:rsidRPr="00584256" w:rsidRDefault="00D97E24" w:rsidP="00256E05">
      <w:pPr>
        <w:tabs>
          <w:tab w:val="left" w:pos="540"/>
        </w:tabs>
        <w:jc w:val="both"/>
        <w:rPr>
          <w:b/>
          <w:bCs/>
          <w:sz w:val="22"/>
          <w:szCs w:val="22"/>
        </w:rPr>
      </w:pPr>
    </w:p>
    <w:p w:rsidR="002F516F" w:rsidRPr="00584256" w:rsidRDefault="00320513" w:rsidP="00256E05">
      <w:pPr>
        <w:jc w:val="both"/>
        <w:rPr>
          <w:sz w:val="22"/>
          <w:szCs w:val="22"/>
        </w:rPr>
      </w:pPr>
      <w:r w:rsidRPr="00320513">
        <w:rPr>
          <w:sz w:val="22"/>
          <w:szCs w:val="22"/>
        </w:rPr>
        <w:t>Analytical grade standard of atrazine was used for preparation of stock solution. Analytical grade standard of methanol was used for UV-Visible spectrophotometry analysis of atrazine concentration. Double distilled water was used for purifying adsorbent material and preparing solution samples. Oil palm shell obtained from FELCRA, Kota Samarahan division was selected as raw material to prepare the adsorbent. Oil palm shell granular activated carbon (6 x 12 mesh size) obtained from Bravo Green Sdn. Bhd. was used for comparison with the adsorbent developed for the adsorption studies.</w:t>
      </w:r>
    </w:p>
    <w:p w:rsidR="00E045D3" w:rsidRDefault="00E045D3" w:rsidP="00256E05">
      <w:pPr>
        <w:jc w:val="both"/>
        <w:rPr>
          <w:sz w:val="22"/>
          <w:szCs w:val="22"/>
        </w:rPr>
      </w:pPr>
    </w:p>
    <w:p w:rsidR="00083E3E" w:rsidRDefault="00256E05" w:rsidP="00256E05">
      <w:pPr>
        <w:jc w:val="both"/>
        <w:rPr>
          <w:i/>
          <w:sz w:val="22"/>
          <w:szCs w:val="22"/>
        </w:rPr>
      </w:pPr>
      <w:r>
        <w:rPr>
          <w:i/>
          <w:sz w:val="22"/>
          <w:szCs w:val="22"/>
        </w:rPr>
        <w:t xml:space="preserve">2.2  </w:t>
      </w:r>
      <w:r>
        <w:rPr>
          <w:i/>
          <w:sz w:val="22"/>
          <w:szCs w:val="22"/>
        </w:rPr>
        <w:tab/>
      </w:r>
      <w:r w:rsidR="00083E3E" w:rsidRPr="00454154">
        <w:rPr>
          <w:i/>
          <w:sz w:val="22"/>
          <w:szCs w:val="22"/>
        </w:rPr>
        <w:t>Preparation of Adsorbent</w:t>
      </w:r>
    </w:p>
    <w:p w:rsidR="00F73D50" w:rsidRPr="00454154" w:rsidRDefault="00F73D50" w:rsidP="00256E05">
      <w:pPr>
        <w:jc w:val="both"/>
        <w:rPr>
          <w:i/>
          <w:sz w:val="22"/>
          <w:szCs w:val="22"/>
        </w:rPr>
      </w:pPr>
    </w:p>
    <w:p w:rsidR="00083E3E" w:rsidRPr="00083E3E" w:rsidRDefault="00083E3E" w:rsidP="00256E05">
      <w:pPr>
        <w:tabs>
          <w:tab w:val="left" w:pos="340"/>
          <w:tab w:val="left" w:pos="426"/>
        </w:tabs>
        <w:jc w:val="both"/>
        <w:rPr>
          <w:sz w:val="22"/>
          <w:szCs w:val="22"/>
        </w:rPr>
      </w:pPr>
      <w:r w:rsidRPr="00083E3E">
        <w:rPr>
          <w:sz w:val="22"/>
          <w:szCs w:val="22"/>
        </w:rPr>
        <w:t xml:space="preserve">The oil palm shell was washed with double distilled water to remove foreign impurities and the sample was then dried in oven at 50 </w:t>
      </w:r>
      <w:r w:rsidRPr="00467672">
        <w:rPr>
          <w:sz w:val="22"/>
          <w:szCs w:val="22"/>
          <w:vertAlign w:val="superscript"/>
        </w:rPr>
        <w:t>o</w:t>
      </w:r>
      <w:r w:rsidRPr="00083E3E">
        <w:rPr>
          <w:sz w:val="22"/>
          <w:szCs w:val="22"/>
        </w:rPr>
        <w:t xml:space="preserve">C for 48 h. The washed and dried material was ground and sieved to particle size of 0.15 - 0.30 mm. The fibres attached to the surface of oil palm shell were then removed. 300 g of the sieved oil palm shell was soaked in 400 mL of n-hexane to remove oil from the surface of the oil palm shell. The sample was then washed thoroughly with double distilled water and dried in oven at 110 </w:t>
      </w:r>
      <w:r w:rsidRPr="00467672">
        <w:rPr>
          <w:sz w:val="22"/>
          <w:szCs w:val="22"/>
          <w:vertAlign w:val="superscript"/>
        </w:rPr>
        <w:t>o</w:t>
      </w:r>
      <w:r w:rsidRPr="00083E3E">
        <w:rPr>
          <w:sz w:val="22"/>
          <w:szCs w:val="22"/>
        </w:rPr>
        <w:t>C for 12 h. The sample was then soaked in 400 mL of 0.1 M sulphuric acid (H</w:t>
      </w:r>
      <w:r w:rsidRPr="00467672">
        <w:rPr>
          <w:sz w:val="22"/>
          <w:szCs w:val="22"/>
          <w:vertAlign w:val="subscript"/>
        </w:rPr>
        <w:t>2</w:t>
      </w:r>
      <w:r w:rsidRPr="00083E3E">
        <w:rPr>
          <w:sz w:val="22"/>
          <w:szCs w:val="22"/>
        </w:rPr>
        <w:t>SO</w:t>
      </w:r>
      <w:r w:rsidRPr="00467672">
        <w:rPr>
          <w:sz w:val="22"/>
          <w:szCs w:val="22"/>
          <w:vertAlign w:val="subscript"/>
        </w:rPr>
        <w:t>4</w:t>
      </w:r>
      <w:r w:rsidRPr="00083E3E">
        <w:rPr>
          <w:sz w:val="22"/>
          <w:szCs w:val="22"/>
        </w:rPr>
        <w:t xml:space="preserve">) for 4 h at 30 </w:t>
      </w:r>
      <w:r w:rsidRPr="00467672">
        <w:rPr>
          <w:sz w:val="22"/>
          <w:szCs w:val="22"/>
          <w:vertAlign w:val="superscript"/>
        </w:rPr>
        <w:t>o</w:t>
      </w:r>
      <w:r w:rsidRPr="00083E3E">
        <w:rPr>
          <w:sz w:val="22"/>
          <w:szCs w:val="22"/>
        </w:rPr>
        <w:t>C. After the H</w:t>
      </w:r>
      <w:r w:rsidRPr="00467672">
        <w:rPr>
          <w:sz w:val="22"/>
          <w:szCs w:val="22"/>
          <w:vertAlign w:val="subscript"/>
        </w:rPr>
        <w:t>2</w:t>
      </w:r>
      <w:r w:rsidRPr="00083E3E">
        <w:rPr>
          <w:sz w:val="22"/>
          <w:szCs w:val="22"/>
        </w:rPr>
        <w:t>SO</w:t>
      </w:r>
      <w:r w:rsidRPr="00467672">
        <w:rPr>
          <w:sz w:val="22"/>
          <w:szCs w:val="22"/>
          <w:vertAlign w:val="subscript"/>
        </w:rPr>
        <w:t>4</w:t>
      </w:r>
      <w:r w:rsidRPr="00083E3E">
        <w:rPr>
          <w:sz w:val="22"/>
          <w:szCs w:val="22"/>
        </w:rPr>
        <w:t xml:space="preserve"> treatment, the adsorbent was washed with hot double distilled water until pH 7 to remove residue H</w:t>
      </w:r>
      <w:r w:rsidRPr="00467672">
        <w:rPr>
          <w:sz w:val="22"/>
          <w:szCs w:val="22"/>
          <w:vertAlign w:val="subscript"/>
        </w:rPr>
        <w:t>2</w:t>
      </w:r>
      <w:r w:rsidRPr="00083E3E">
        <w:rPr>
          <w:sz w:val="22"/>
          <w:szCs w:val="22"/>
        </w:rPr>
        <w:t>SO</w:t>
      </w:r>
      <w:r w:rsidRPr="00467672">
        <w:rPr>
          <w:sz w:val="22"/>
          <w:szCs w:val="22"/>
          <w:vertAlign w:val="subscript"/>
        </w:rPr>
        <w:t>4</w:t>
      </w:r>
      <w:r w:rsidRPr="00083E3E">
        <w:rPr>
          <w:sz w:val="22"/>
          <w:szCs w:val="22"/>
        </w:rPr>
        <w:t xml:space="preserve"> and was then dried in oven at 110 </w:t>
      </w:r>
      <w:r w:rsidRPr="002E002F">
        <w:rPr>
          <w:sz w:val="22"/>
          <w:szCs w:val="22"/>
          <w:vertAlign w:val="superscript"/>
        </w:rPr>
        <w:t>o</w:t>
      </w:r>
      <w:r w:rsidRPr="00083E3E">
        <w:rPr>
          <w:sz w:val="22"/>
          <w:szCs w:val="22"/>
        </w:rPr>
        <w:t xml:space="preserve">C for 12 h. The dried adsorbents were cooled to room temperature and were stored in air-tight container for further characterization and adsorption studies. </w:t>
      </w:r>
    </w:p>
    <w:p w:rsidR="00083E3E" w:rsidRDefault="00083E3E" w:rsidP="00256E05">
      <w:pPr>
        <w:jc w:val="both"/>
        <w:rPr>
          <w:sz w:val="22"/>
          <w:szCs w:val="22"/>
        </w:rPr>
      </w:pPr>
    </w:p>
    <w:p w:rsidR="00256E05" w:rsidRPr="00083E3E" w:rsidRDefault="00256E05" w:rsidP="00256E05">
      <w:pPr>
        <w:jc w:val="both"/>
        <w:rPr>
          <w:sz w:val="22"/>
          <w:szCs w:val="22"/>
        </w:rPr>
      </w:pPr>
    </w:p>
    <w:p w:rsidR="00083E3E" w:rsidRDefault="00083E3E" w:rsidP="00256E05">
      <w:pPr>
        <w:jc w:val="both"/>
        <w:rPr>
          <w:i/>
          <w:sz w:val="22"/>
          <w:szCs w:val="22"/>
        </w:rPr>
      </w:pPr>
      <w:r w:rsidRPr="00454154">
        <w:rPr>
          <w:i/>
          <w:sz w:val="22"/>
          <w:szCs w:val="22"/>
        </w:rPr>
        <w:t xml:space="preserve">2.3  </w:t>
      </w:r>
      <w:r w:rsidR="00256E05">
        <w:rPr>
          <w:i/>
          <w:sz w:val="22"/>
          <w:szCs w:val="22"/>
        </w:rPr>
        <w:tab/>
      </w:r>
      <w:r w:rsidRPr="00454154">
        <w:rPr>
          <w:i/>
          <w:sz w:val="22"/>
          <w:szCs w:val="22"/>
        </w:rPr>
        <w:t xml:space="preserve"> Charaterisation of Adsorbent</w:t>
      </w:r>
    </w:p>
    <w:p w:rsidR="00F73D50" w:rsidRPr="00454154" w:rsidRDefault="00F73D50" w:rsidP="00256E05">
      <w:pPr>
        <w:jc w:val="both"/>
        <w:rPr>
          <w:i/>
          <w:sz w:val="22"/>
          <w:szCs w:val="22"/>
        </w:rPr>
      </w:pPr>
    </w:p>
    <w:p w:rsidR="00083E3E" w:rsidRPr="00083E3E" w:rsidRDefault="00083E3E" w:rsidP="00256E05">
      <w:pPr>
        <w:tabs>
          <w:tab w:val="left" w:pos="426"/>
        </w:tabs>
        <w:jc w:val="both"/>
        <w:rPr>
          <w:sz w:val="22"/>
          <w:szCs w:val="22"/>
        </w:rPr>
      </w:pPr>
      <w:r w:rsidRPr="00083E3E">
        <w:rPr>
          <w:sz w:val="22"/>
          <w:szCs w:val="22"/>
        </w:rPr>
        <w:t>The surface morphology of the oil palm shell and oil palm shell-based adsorbent were analyzed by using a scanning electron microscope (Model JEOL JSM-6390LA). The Fourier transform infrared (FTIR) spectroscopy analysis was conducted using FTIR spectrophotometer (Model Shimadzu IRAffinity-1) in the range of 400-4000 cm</w:t>
      </w:r>
      <w:r w:rsidRPr="00467672">
        <w:rPr>
          <w:sz w:val="22"/>
          <w:szCs w:val="22"/>
          <w:vertAlign w:val="superscript"/>
        </w:rPr>
        <w:t>-1</w:t>
      </w:r>
      <w:r w:rsidRPr="00083E3E">
        <w:rPr>
          <w:sz w:val="22"/>
          <w:szCs w:val="22"/>
        </w:rPr>
        <w:t xml:space="preserve"> wavelength with 4 cm</w:t>
      </w:r>
      <w:r w:rsidRPr="00467672">
        <w:rPr>
          <w:sz w:val="22"/>
          <w:szCs w:val="22"/>
          <w:vertAlign w:val="superscript"/>
        </w:rPr>
        <w:t>−1</w:t>
      </w:r>
      <w:r w:rsidRPr="00083E3E">
        <w:rPr>
          <w:sz w:val="22"/>
          <w:szCs w:val="22"/>
        </w:rPr>
        <w:t xml:space="preserve"> resolution. FTIR characterization was used to determine the functional groups present on the surface of the samples. </w:t>
      </w:r>
    </w:p>
    <w:p w:rsidR="00083E3E" w:rsidRPr="00083E3E" w:rsidRDefault="00083E3E" w:rsidP="00256E05">
      <w:pPr>
        <w:jc w:val="both"/>
        <w:rPr>
          <w:sz w:val="22"/>
          <w:szCs w:val="22"/>
        </w:rPr>
      </w:pPr>
    </w:p>
    <w:p w:rsidR="00083E3E" w:rsidRDefault="00083E3E" w:rsidP="00256E05">
      <w:pPr>
        <w:jc w:val="both"/>
        <w:rPr>
          <w:i/>
          <w:sz w:val="22"/>
          <w:szCs w:val="22"/>
        </w:rPr>
      </w:pPr>
      <w:r w:rsidRPr="00454154">
        <w:rPr>
          <w:i/>
          <w:sz w:val="22"/>
          <w:szCs w:val="22"/>
        </w:rPr>
        <w:t xml:space="preserve">2.4   </w:t>
      </w:r>
      <w:r w:rsidR="00256E05">
        <w:rPr>
          <w:i/>
          <w:sz w:val="22"/>
          <w:szCs w:val="22"/>
        </w:rPr>
        <w:tab/>
      </w:r>
      <w:r w:rsidRPr="00454154">
        <w:rPr>
          <w:i/>
          <w:sz w:val="22"/>
          <w:szCs w:val="22"/>
        </w:rPr>
        <w:t>Batch Adsorption Studies</w:t>
      </w:r>
    </w:p>
    <w:p w:rsidR="00F73D50" w:rsidRPr="00454154" w:rsidRDefault="00F73D50" w:rsidP="00256E05">
      <w:pPr>
        <w:jc w:val="both"/>
        <w:rPr>
          <w:i/>
          <w:sz w:val="22"/>
          <w:szCs w:val="22"/>
        </w:rPr>
      </w:pPr>
    </w:p>
    <w:p w:rsidR="00083E3E" w:rsidRPr="00083E3E" w:rsidRDefault="00083E3E" w:rsidP="00256E05">
      <w:pPr>
        <w:tabs>
          <w:tab w:val="left" w:pos="426"/>
        </w:tabs>
        <w:jc w:val="both"/>
        <w:rPr>
          <w:sz w:val="22"/>
          <w:szCs w:val="22"/>
        </w:rPr>
      </w:pPr>
      <w:r w:rsidRPr="00083E3E">
        <w:rPr>
          <w:sz w:val="22"/>
          <w:szCs w:val="22"/>
        </w:rPr>
        <w:t xml:space="preserve">Stock solution of atrazine of 30 mg/L was prepared by dissolving 30 mg of atrazine in 10 mL of methanol initially in 1000 mL volumetric flask. The solutions were then made up to the volume with double distilled water. Stock solution of atrazine was initially dissolved in a small quantity of methanol in order to accelerate its dissolution in water. The stock solution was then diluted using double distilled water to the desired concentration in the range of 5-30 mg/L. Adsorption studies of atrazine on the oil palm shell-derived adsorbent were carried out in batch mode. Adsorption experiments to study the effect of initial concentration were carried out by contacting 0.2 g of adsorbent with 200 mL of atrazine solution of different concentrations: 5, 10, 15, 20, 25 and 30 mg/L at constant temperature (30 </w:t>
      </w:r>
      <w:r w:rsidRPr="00467672">
        <w:rPr>
          <w:sz w:val="22"/>
          <w:szCs w:val="22"/>
          <w:vertAlign w:val="superscript"/>
        </w:rPr>
        <w:t>o</w:t>
      </w:r>
      <w:r w:rsidRPr="00083E3E">
        <w:rPr>
          <w:sz w:val="22"/>
          <w:szCs w:val="22"/>
        </w:rPr>
        <w:t xml:space="preserve">C) in 250 mL Erlenmeyer flasks. The effect of initial concentration was then evaluated on activated carbon for comparison. The effect of adsorbent dosage on the adsorption of atrazine on oil palm shell-based adsorbent was studied by contacting 200 mL of atrazine solution at fixed concentration of 30 mg/L with various adsorbent dosages of 0.2, 0.4, 0.8, 1.2, 1.6 and 2.0 g at 30 oC in 250 mL Erlenmeyer flasks. Meanwhile, the effect of pH on atrazine adsorption was investigated by contacting 0.2 g of adsorbent with 200 mL of atrazine solution with fixed concentration (5 mg/L) at varying initial solution pH (2-12) at 30 </w:t>
      </w:r>
      <w:r w:rsidRPr="00467672">
        <w:rPr>
          <w:sz w:val="22"/>
          <w:szCs w:val="22"/>
          <w:vertAlign w:val="superscript"/>
        </w:rPr>
        <w:t>o</w:t>
      </w:r>
      <w:r w:rsidRPr="00083E3E">
        <w:rPr>
          <w:sz w:val="22"/>
          <w:szCs w:val="22"/>
        </w:rPr>
        <w:t>C.</w:t>
      </w:r>
    </w:p>
    <w:p w:rsidR="00256E05" w:rsidRDefault="00467672" w:rsidP="00256E05">
      <w:pPr>
        <w:tabs>
          <w:tab w:val="left" w:pos="450"/>
        </w:tabs>
        <w:jc w:val="both"/>
        <w:rPr>
          <w:sz w:val="22"/>
          <w:szCs w:val="22"/>
        </w:rPr>
      </w:pPr>
      <w:r>
        <w:rPr>
          <w:sz w:val="22"/>
          <w:szCs w:val="22"/>
        </w:rPr>
        <w:tab/>
      </w:r>
    </w:p>
    <w:p w:rsidR="00083E3E" w:rsidRPr="00083E3E" w:rsidRDefault="00083E3E" w:rsidP="00256E05">
      <w:pPr>
        <w:tabs>
          <w:tab w:val="left" w:pos="450"/>
        </w:tabs>
        <w:jc w:val="both"/>
        <w:rPr>
          <w:sz w:val="22"/>
          <w:szCs w:val="22"/>
        </w:rPr>
      </w:pPr>
      <w:r w:rsidRPr="00083E3E">
        <w:rPr>
          <w:sz w:val="22"/>
          <w:szCs w:val="22"/>
        </w:rPr>
        <w:t>The absorbance of atrazine at maximum wavelength of 222 nm was plotted against atrazine concentration to obtain a calibration curve for determination of atrazine concentration in this study. The adsorption uptake at time t, q</w:t>
      </w:r>
      <w:r w:rsidRPr="009E7F6D">
        <w:rPr>
          <w:sz w:val="22"/>
          <w:szCs w:val="22"/>
          <w:vertAlign w:val="subscript"/>
        </w:rPr>
        <w:t>t</w:t>
      </w:r>
      <w:r w:rsidRPr="00083E3E">
        <w:rPr>
          <w:sz w:val="22"/>
          <w:szCs w:val="22"/>
        </w:rPr>
        <w:t xml:space="preserve"> (mg/g), was expressed by Eq. 1:</w:t>
      </w:r>
    </w:p>
    <w:p w:rsidR="00454154" w:rsidRDefault="00454154" w:rsidP="00256E05">
      <w:pPr>
        <w:jc w:val="both"/>
        <w:rPr>
          <w:sz w:val="22"/>
          <w:szCs w:val="22"/>
        </w:rPr>
      </w:pPr>
    </w:p>
    <w:p w:rsidR="00083E3E" w:rsidRDefault="00467672" w:rsidP="00256E05">
      <w:pPr>
        <w:tabs>
          <w:tab w:val="left" w:pos="450"/>
        </w:tabs>
        <w:jc w:val="both"/>
        <w:rPr>
          <w:sz w:val="22"/>
          <w:szCs w:val="22"/>
        </w:rPr>
      </w:pPr>
      <w:r>
        <w:rPr>
          <w:sz w:val="22"/>
          <w:szCs w:val="22"/>
        </w:rPr>
        <w:tab/>
      </w:r>
      <w:r w:rsidR="00083E3E" w:rsidRPr="00083E3E">
        <w:rPr>
          <w:sz w:val="22"/>
          <w:szCs w:val="22"/>
        </w:rPr>
        <w:t>q</w:t>
      </w:r>
      <w:r w:rsidR="00083E3E" w:rsidRPr="00467672">
        <w:rPr>
          <w:sz w:val="22"/>
          <w:szCs w:val="22"/>
          <w:vertAlign w:val="subscript"/>
        </w:rPr>
        <w:t>t</w:t>
      </w:r>
      <w:r w:rsidR="00083E3E" w:rsidRPr="00083E3E">
        <w:rPr>
          <w:sz w:val="22"/>
          <w:szCs w:val="22"/>
        </w:rPr>
        <w:t xml:space="preserve"> = (C</w:t>
      </w:r>
      <w:r w:rsidR="00083E3E" w:rsidRPr="00467672">
        <w:rPr>
          <w:sz w:val="22"/>
          <w:szCs w:val="22"/>
          <w:vertAlign w:val="subscript"/>
        </w:rPr>
        <w:t>o</w:t>
      </w:r>
      <w:r w:rsidR="00083E3E" w:rsidRPr="00083E3E">
        <w:rPr>
          <w:sz w:val="22"/>
          <w:szCs w:val="22"/>
        </w:rPr>
        <w:t>- C</w:t>
      </w:r>
      <w:r w:rsidR="00083E3E" w:rsidRPr="00467672">
        <w:rPr>
          <w:sz w:val="22"/>
          <w:szCs w:val="22"/>
          <w:vertAlign w:val="subscript"/>
        </w:rPr>
        <w:t>t</w:t>
      </w:r>
      <w:r w:rsidR="00083E3E" w:rsidRPr="00083E3E">
        <w:rPr>
          <w:sz w:val="22"/>
          <w:szCs w:val="22"/>
        </w:rPr>
        <w:t xml:space="preserve"> )V/W</w:t>
      </w:r>
      <w:r w:rsidR="00083E3E" w:rsidRPr="00083E3E">
        <w:rPr>
          <w:sz w:val="22"/>
          <w:szCs w:val="22"/>
        </w:rPr>
        <w:tab/>
      </w:r>
      <w:r w:rsidR="00083E3E" w:rsidRPr="00083E3E">
        <w:rPr>
          <w:sz w:val="22"/>
          <w:szCs w:val="22"/>
        </w:rPr>
        <w:tab/>
      </w:r>
      <w:r w:rsidR="00454154">
        <w:rPr>
          <w:sz w:val="22"/>
          <w:szCs w:val="22"/>
        </w:rPr>
        <w:tab/>
      </w:r>
      <w:r w:rsidR="00454154">
        <w:rPr>
          <w:sz w:val="22"/>
          <w:szCs w:val="22"/>
        </w:rPr>
        <w:tab/>
      </w:r>
      <w:r w:rsidR="00083E3E" w:rsidRPr="00083E3E">
        <w:rPr>
          <w:sz w:val="22"/>
          <w:szCs w:val="22"/>
        </w:rPr>
        <w:tab/>
      </w:r>
      <w:r w:rsidR="00083E3E" w:rsidRPr="00083E3E">
        <w:rPr>
          <w:sz w:val="22"/>
          <w:szCs w:val="22"/>
        </w:rPr>
        <w:tab/>
      </w:r>
      <w:r w:rsidR="00083E3E" w:rsidRPr="00083E3E">
        <w:rPr>
          <w:sz w:val="22"/>
          <w:szCs w:val="22"/>
        </w:rPr>
        <w:tab/>
      </w:r>
      <w:r w:rsidR="00083E3E" w:rsidRPr="00083E3E">
        <w:rPr>
          <w:sz w:val="22"/>
          <w:szCs w:val="22"/>
        </w:rPr>
        <w:tab/>
        <w:t>(1)</w:t>
      </w:r>
    </w:p>
    <w:p w:rsidR="00454154" w:rsidRPr="00083E3E" w:rsidRDefault="00454154" w:rsidP="00256E05">
      <w:pPr>
        <w:jc w:val="both"/>
        <w:rPr>
          <w:sz w:val="22"/>
          <w:szCs w:val="22"/>
        </w:rPr>
      </w:pPr>
    </w:p>
    <w:p w:rsidR="00083E3E" w:rsidRPr="00083E3E" w:rsidRDefault="00083E3E" w:rsidP="00256E05">
      <w:pPr>
        <w:jc w:val="both"/>
        <w:rPr>
          <w:sz w:val="22"/>
          <w:szCs w:val="22"/>
        </w:rPr>
      </w:pPr>
      <w:r w:rsidRPr="00083E3E">
        <w:rPr>
          <w:sz w:val="22"/>
          <w:szCs w:val="22"/>
        </w:rPr>
        <w:t>where q</w:t>
      </w:r>
      <w:r w:rsidRPr="00467672">
        <w:rPr>
          <w:sz w:val="22"/>
          <w:szCs w:val="22"/>
          <w:vertAlign w:val="subscript"/>
        </w:rPr>
        <w:t>t</w:t>
      </w:r>
      <w:r w:rsidRPr="00083E3E">
        <w:rPr>
          <w:sz w:val="22"/>
          <w:szCs w:val="22"/>
        </w:rPr>
        <w:t xml:space="preserve"> is the amount of atrazine adsorbed by adsorbent (mg/g), C</w:t>
      </w:r>
      <w:r w:rsidRPr="00467672">
        <w:rPr>
          <w:sz w:val="22"/>
          <w:szCs w:val="22"/>
          <w:vertAlign w:val="subscript"/>
        </w:rPr>
        <w:t>o</w:t>
      </w:r>
      <w:r w:rsidRPr="00083E3E">
        <w:rPr>
          <w:sz w:val="22"/>
          <w:szCs w:val="22"/>
        </w:rPr>
        <w:t xml:space="preserve"> is the initial liquid-phase concentrations of atrazine (mg/L), C</w:t>
      </w:r>
      <w:r w:rsidRPr="00467672">
        <w:rPr>
          <w:sz w:val="22"/>
          <w:szCs w:val="22"/>
          <w:vertAlign w:val="subscript"/>
        </w:rPr>
        <w:t>t</w:t>
      </w:r>
      <w:r w:rsidRPr="00083E3E">
        <w:rPr>
          <w:sz w:val="22"/>
          <w:szCs w:val="22"/>
        </w:rPr>
        <w:t xml:space="preserve">  is the liquid-phase concentration of atrazine at any time t (mg/L) , V is the solution volume (L), and W is the mass of adsorbent used (g).</w:t>
      </w:r>
    </w:p>
    <w:p w:rsidR="00083E3E" w:rsidRDefault="00083E3E" w:rsidP="00256E05">
      <w:pPr>
        <w:jc w:val="both"/>
        <w:rPr>
          <w:sz w:val="22"/>
          <w:szCs w:val="22"/>
        </w:rPr>
      </w:pPr>
    </w:p>
    <w:p w:rsidR="00256E05" w:rsidRDefault="00256E05" w:rsidP="00256E05">
      <w:pPr>
        <w:jc w:val="both"/>
        <w:rPr>
          <w:sz w:val="22"/>
          <w:szCs w:val="22"/>
        </w:rPr>
      </w:pPr>
    </w:p>
    <w:p w:rsidR="00256E05" w:rsidRPr="00083E3E" w:rsidRDefault="00256E05" w:rsidP="00256E05">
      <w:pPr>
        <w:jc w:val="both"/>
        <w:rPr>
          <w:sz w:val="22"/>
          <w:szCs w:val="22"/>
        </w:rPr>
      </w:pPr>
    </w:p>
    <w:p w:rsidR="00083E3E" w:rsidRDefault="00083E3E" w:rsidP="00256E05">
      <w:pPr>
        <w:jc w:val="both"/>
        <w:rPr>
          <w:i/>
          <w:sz w:val="22"/>
          <w:szCs w:val="22"/>
        </w:rPr>
      </w:pPr>
      <w:r w:rsidRPr="00454154">
        <w:rPr>
          <w:i/>
          <w:sz w:val="22"/>
          <w:szCs w:val="22"/>
        </w:rPr>
        <w:t xml:space="preserve">2.5   </w:t>
      </w:r>
      <w:r w:rsidR="00256E05">
        <w:rPr>
          <w:i/>
          <w:sz w:val="22"/>
          <w:szCs w:val="22"/>
        </w:rPr>
        <w:tab/>
      </w:r>
      <w:r w:rsidRPr="00454154">
        <w:rPr>
          <w:i/>
          <w:sz w:val="22"/>
          <w:szCs w:val="22"/>
        </w:rPr>
        <w:t>Adsorption Isotherms</w:t>
      </w:r>
    </w:p>
    <w:p w:rsidR="00F73D50" w:rsidRPr="00454154" w:rsidRDefault="00F73D50" w:rsidP="00256E05">
      <w:pPr>
        <w:jc w:val="both"/>
        <w:rPr>
          <w:i/>
          <w:sz w:val="22"/>
          <w:szCs w:val="22"/>
        </w:rPr>
      </w:pPr>
    </w:p>
    <w:p w:rsidR="00083E3E" w:rsidRPr="00083E3E" w:rsidRDefault="00083E3E" w:rsidP="00256E05">
      <w:pPr>
        <w:tabs>
          <w:tab w:val="left" w:pos="426"/>
        </w:tabs>
        <w:jc w:val="both"/>
        <w:rPr>
          <w:sz w:val="22"/>
          <w:szCs w:val="22"/>
        </w:rPr>
      </w:pPr>
      <w:r w:rsidRPr="00083E3E">
        <w:rPr>
          <w:sz w:val="22"/>
          <w:szCs w:val="22"/>
        </w:rPr>
        <w:lastRenderedPageBreak/>
        <w:t>Langmuir and Freundlich isotherm models were employed to fit the equilibrium data to evaluate the equilibrium between adsorbate and adsorbent of the adsorption process. Langmuir isotherm is mainly employed to monolayer adsorption on perfectly smooth and homogeneous surface.  The linear form of the Langmuir (Langmuir, 1918) adsorption isotherm equation (Eq. 2) can be expressed as:</w:t>
      </w:r>
    </w:p>
    <w:p w:rsidR="00256E05" w:rsidRDefault="00467672" w:rsidP="00256E05">
      <w:pPr>
        <w:tabs>
          <w:tab w:val="left" w:pos="450"/>
        </w:tabs>
        <w:jc w:val="both"/>
        <w:rPr>
          <w:sz w:val="22"/>
          <w:szCs w:val="22"/>
        </w:rPr>
      </w:pPr>
      <w:r>
        <w:rPr>
          <w:sz w:val="22"/>
          <w:szCs w:val="22"/>
        </w:rPr>
        <w:tab/>
      </w:r>
    </w:p>
    <w:p w:rsidR="00083E3E" w:rsidRPr="00083E3E" w:rsidRDefault="00256E05" w:rsidP="00256E05">
      <w:pPr>
        <w:tabs>
          <w:tab w:val="left" w:pos="450"/>
        </w:tabs>
        <w:jc w:val="both"/>
        <w:rPr>
          <w:sz w:val="22"/>
          <w:szCs w:val="22"/>
        </w:rPr>
      </w:pPr>
      <w:r>
        <w:rPr>
          <w:sz w:val="22"/>
          <w:szCs w:val="22"/>
        </w:rPr>
        <w:tab/>
      </w:r>
      <w:r w:rsidR="00083E3E" w:rsidRPr="00083E3E">
        <w:rPr>
          <w:sz w:val="22"/>
          <w:szCs w:val="22"/>
        </w:rPr>
        <w:t>C</w:t>
      </w:r>
      <w:r w:rsidR="00083E3E" w:rsidRPr="00467672">
        <w:rPr>
          <w:sz w:val="22"/>
          <w:szCs w:val="22"/>
          <w:vertAlign w:val="subscript"/>
        </w:rPr>
        <w:t>e</w:t>
      </w:r>
      <w:r w:rsidR="00083E3E" w:rsidRPr="00083E3E">
        <w:rPr>
          <w:sz w:val="22"/>
          <w:szCs w:val="22"/>
        </w:rPr>
        <w:t>/q</w:t>
      </w:r>
      <w:r w:rsidR="00083E3E" w:rsidRPr="00467672">
        <w:rPr>
          <w:sz w:val="22"/>
          <w:szCs w:val="22"/>
          <w:vertAlign w:val="subscript"/>
        </w:rPr>
        <w:t>e</w:t>
      </w:r>
      <w:r w:rsidR="00083E3E" w:rsidRPr="00083E3E">
        <w:rPr>
          <w:sz w:val="22"/>
          <w:szCs w:val="22"/>
        </w:rPr>
        <w:t xml:space="preserve"> = 1/Q</w:t>
      </w:r>
      <w:r w:rsidR="00083E3E" w:rsidRPr="00467672">
        <w:rPr>
          <w:sz w:val="22"/>
          <w:szCs w:val="22"/>
          <w:vertAlign w:val="subscript"/>
        </w:rPr>
        <w:t>m</w:t>
      </w:r>
      <w:r w:rsidR="00083E3E" w:rsidRPr="00083E3E">
        <w:rPr>
          <w:sz w:val="22"/>
          <w:szCs w:val="22"/>
        </w:rPr>
        <w:t>K</w:t>
      </w:r>
      <w:r w:rsidR="00083E3E" w:rsidRPr="00467672">
        <w:rPr>
          <w:sz w:val="22"/>
          <w:szCs w:val="22"/>
          <w:vertAlign w:val="subscript"/>
        </w:rPr>
        <w:t>L</w:t>
      </w:r>
      <w:r w:rsidR="00083E3E" w:rsidRPr="00083E3E">
        <w:rPr>
          <w:sz w:val="22"/>
          <w:szCs w:val="22"/>
        </w:rPr>
        <w:t xml:space="preserve"> + (1/Q</w:t>
      </w:r>
      <w:r w:rsidR="00083E3E" w:rsidRPr="00467672">
        <w:rPr>
          <w:sz w:val="22"/>
          <w:szCs w:val="22"/>
          <w:vertAlign w:val="subscript"/>
        </w:rPr>
        <w:t>m</w:t>
      </w:r>
      <w:r w:rsidR="00083E3E" w:rsidRPr="00083E3E">
        <w:rPr>
          <w:sz w:val="22"/>
          <w:szCs w:val="22"/>
        </w:rPr>
        <w:t>) C</w:t>
      </w:r>
      <w:r w:rsidR="00083E3E" w:rsidRPr="00467672">
        <w:rPr>
          <w:sz w:val="22"/>
          <w:szCs w:val="22"/>
          <w:vertAlign w:val="subscript"/>
        </w:rPr>
        <w:t>e</w:t>
      </w:r>
      <w:r w:rsidR="00083E3E" w:rsidRPr="00083E3E">
        <w:rPr>
          <w:sz w:val="22"/>
          <w:szCs w:val="22"/>
        </w:rPr>
        <w:tab/>
      </w:r>
      <w:r w:rsidR="00083E3E" w:rsidRPr="00083E3E">
        <w:rPr>
          <w:sz w:val="22"/>
          <w:szCs w:val="22"/>
        </w:rPr>
        <w:tab/>
      </w:r>
      <w:r w:rsidR="00083E3E" w:rsidRPr="00083E3E">
        <w:rPr>
          <w:sz w:val="22"/>
          <w:szCs w:val="22"/>
        </w:rPr>
        <w:tab/>
      </w:r>
      <w:r w:rsidR="00083E3E" w:rsidRPr="00083E3E">
        <w:rPr>
          <w:sz w:val="22"/>
          <w:szCs w:val="22"/>
        </w:rPr>
        <w:tab/>
      </w:r>
      <w:r w:rsidR="00083E3E" w:rsidRPr="00083E3E">
        <w:rPr>
          <w:sz w:val="22"/>
          <w:szCs w:val="22"/>
        </w:rPr>
        <w:tab/>
      </w:r>
      <w:r w:rsidR="00083E3E" w:rsidRPr="00083E3E">
        <w:rPr>
          <w:sz w:val="22"/>
          <w:szCs w:val="22"/>
        </w:rPr>
        <w:tab/>
        <w:t>(2)</w:t>
      </w:r>
    </w:p>
    <w:p w:rsidR="00454154" w:rsidRDefault="00454154" w:rsidP="00256E05">
      <w:pPr>
        <w:jc w:val="both"/>
        <w:rPr>
          <w:sz w:val="22"/>
          <w:szCs w:val="22"/>
        </w:rPr>
      </w:pPr>
    </w:p>
    <w:p w:rsidR="00083E3E" w:rsidRPr="00083E3E" w:rsidRDefault="00083E3E" w:rsidP="00256E05">
      <w:pPr>
        <w:jc w:val="both"/>
        <w:rPr>
          <w:sz w:val="22"/>
          <w:szCs w:val="22"/>
        </w:rPr>
      </w:pPr>
      <w:r w:rsidRPr="00083E3E">
        <w:rPr>
          <w:sz w:val="22"/>
          <w:szCs w:val="22"/>
        </w:rPr>
        <w:t>where C</w:t>
      </w:r>
      <w:r w:rsidRPr="00467672">
        <w:rPr>
          <w:sz w:val="22"/>
          <w:szCs w:val="22"/>
          <w:vertAlign w:val="subscript"/>
        </w:rPr>
        <w:t>e</w:t>
      </w:r>
      <w:r w:rsidRPr="00083E3E">
        <w:rPr>
          <w:sz w:val="22"/>
          <w:szCs w:val="22"/>
        </w:rPr>
        <w:t xml:space="preserve"> is the equilibrium concentration of the adsorbate (mg/L), q</w:t>
      </w:r>
      <w:r w:rsidRPr="00467672">
        <w:rPr>
          <w:sz w:val="22"/>
          <w:szCs w:val="22"/>
          <w:vertAlign w:val="subscript"/>
        </w:rPr>
        <w:t>e</w:t>
      </w:r>
      <w:r w:rsidRPr="00083E3E">
        <w:rPr>
          <w:sz w:val="22"/>
          <w:szCs w:val="22"/>
        </w:rPr>
        <w:t xml:space="preserve"> is the amount of adsorbate adsorbed per unit mass of adsorbent (mg/g), Q</w:t>
      </w:r>
      <w:r w:rsidRPr="00467672">
        <w:rPr>
          <w:sz w:val="22"/>
          <w:szCs w:val="22"/>
          <w:vertAlign w:val="subscript"/>
        </w:rPr>
        <w:t>m</w:t>
      </w:r>
      <w:r w:rsidRPr="00083E3E">
        <w:rPr>
          <w:sz w:val="22"/>
          <w:szCs w:val="22"/>
        </w:rPr>
        <w:t xml:space="preserve"> and K</w:t>
      </w:r>
      <w:r w:rsidRPr="00467672">
        <w:rPr>
          <w:sz w:val="22"/>
          <w:szCs w:val="22"/>
          <w:vertAlign w:val="subscript"/>
        </w:rPr>
        <w:t>L</w:t>
      </w:r>
      <w:r w:rsidRPr="00083E3E">
        <w:rPr>
          <w:sz w:val="22"/>
          <w:szCs w:val="22"/>
        </w:rPr>
        <w:t xml:space="preserve"> are Langmuir constants related to adsorption capacity (mg/g) and rate of adsorption (L/mg), respectively. The plot of C</w:t>
      </w:r>
      <w:r w:rsidRPr="00850043">
        <w:rPr>
          <w:sz w:val="22"/>
          <w:szCs w:val="22"/>
          <w:vertAlign w:val="subscript"/>
        </w:rPr>
        <w:t>e</w:t>
      </w:r>
      <w:r w:rsidRPr="00083E3E">
        <w:rPr>
          <w:sz w:val="22"/>
          <w:szCs w:val="22"/>
        </w:rPr>
        <w:t>/q</w:t>
      </w:r>
      <w:r w:rsidRPr="00850043">
        <w:rPr>
          <w:sz w:val="22"/>
          <w:szCs w:val="22"/>
          <w:vertAlign w:val="subscript"/>
        </w:rPr>
        <w:t>e</w:t>
      </w:r>
      <w:r w:rsidRPr="00083E3E">
        <w:rPr>
          <w:sz w:val="22"/>
          <w:szCs w:val="22"/>
        </w:rPr>
        <w:t xml:space="preserve"> against C</w:t>
      </w:r>
      <w:r w:rsidRPr="00850043">
        <w:rPr>
          <w:sz w:val="22"/>
          <w:szCs w:val="22"/>
          <w:vertAlign w:val="subscript"/>
        </w:rPr>
        <w:t>e</w:t>
      </w:r>
      <w:r w:rsidRPr="00083E3E">
        <w:rPr>
          <w:sz w:val="22"/>
          <w:szCs w:val="22"/>
        </w:rPr>
        <w:t xml:space="preserve"> would give the value of Q</w:t>
      </w:r>
      <w:r w:rsidRPr="00850043">
        <w:rPr>
          <w:sz w:val="22"/>
          <w:szCs w:val="22"/>
          <w:vertAlign w:val="subscript"/>
        </w:rPr>
        <w:t>m</w:t>
      </w:r>
      <w:r w:rsidRPr="00083E3E">
        <w:rPr>
          <w:sz w:val="22"/>
          <w:szCs w:val="22"/>
        </w:rPr>
        <w:t xml:space="preserve"> and K</w:t>
      </w:r>
      <w:r w:rsidRPr="00850043">
        <w:rPr>
          <w:sz w:val="22"/>
          <w:szCs w:val="22"/>
          <w:vertAlign w:val="subscript"/>
        </w:rPr>
        <w:t>L</w:t>
      </w:r>
      <w:r w:rsidRPr="00083E3E">
        <w:rPr>
          <w:sz w:val="22"/>
          <w:szCs w:val="22"/>
        </w:rPr>
        <w:t>.</w:t>
      </w:r>
    </w:p>
    <w:p w:rsidR="00083E3E" w:rsidRPr="00083E3E" w:rsidRDefault="00083E3E" w:rsidP="00256E05">
      <w:pPr>
        <w:jc w:val="both"/>
        <w:rPr>
          <w:sz w:val="22"/>
          <w:szCs w:val="22"/>
        </w:rPr>
      </w:pPr>
      <w:r w:rsidRPr="00083E3E">
        <w:rPr>
          <w:sz w:val="22"/>
          <w:szCs w:val="22"/>
        </w:rPr>
        <w:t>Freundlich isotherm is extensively applied for adsorption surfaces with non-uniform energy distribution. The linear form of the Freundlich (Freundlich, 1906) adsorption isotherm equation (Eq. 3) can be expressed as:</w:t>
      </w:r>
    </w:p>
    <w:p w:rsidR="00454154" w:rsidRDefault="00454154" w:rsidP="00256E05">
      <w:pPr>
        <w:jc w:val="both"/>
        <w:rPr>
          <w:sz w:val="22"/>
          <w:szCs w:val="22"/>
        </w:rPr>
      </w:pPr>
    </w:p>
    <w:p w:rsidR="00083E3E" w:rsidRPr="00083E3E" w:rsidRDefault="00467672" w:rsidP="00256E05">
      <w:pPr>
        <w:tabs>
          <w:tab w:val="left" w:pos="450"/>
        </w:tabs>
        <w:jc w:val="both"/>
        <w:rPr>
          <w:sz w:val="22"/>
          <w:szCs w:val="22"/>
        </w:rPr>
      </w:pPr>
      <w:r>
        <w:rPr>
          <w:sz w:val="22"/>
          <w:szCs w:val="22"/>
        </w:rPr>
        <w:tab/>
      </w:r>
      <w:r w:rsidR="00083E3E" w:rsidRPr="00083E3E">
        <w:rPr>
          <w:sz w:val="22"/>
          <w:szCs w:val="22"/>
        </w:rPr>
        <w:t>ln q</w:t>
      </w:r>
      <w:r w:rsidR="00083E3E" w:rsidRPr="00467672">
        <w:rPr>
          <w:sz w:val="22"/>
          <w:szCs w:val="22"/>
          <w:vertAlign w:val="subscript"/>
        </w:rPr>
        <w:t>e</w:t>
      </w:r>
      <w:r w:rsidR="00083E3E" w:rsidRPr="00083E3E">
        <w:rPr>
          <w:sz w:val="22"/>
          <w:szCs w:val="22"/>
        </w:rPr>
        <w:t xml:space="preserve"> = ln K</w:t>
      </w:r>
      <w:r w:rsidR="00083E3E" w:rsidRPr="00467672">
        <w:rPr>
          <w:sz w:val="22"/>
          <w:szCs w:val="22"/>
          <w:vertAlign w:val="subscript"/>
        </w:rPr>
        <w:t>F</w:t>
      </w:r>
      <w:r w:rsidR="00083E3E" w:rsidRPr="00083E3E">
        <w:rPr>
          <w:sz w:val="22"/>
          <w:szCs w:val="22"/>
        </w:rPr>
        <w:t xml:space="preserve"> + (1/n) ln C</w:t>
      </w:r>
      <w:r w:rsidR="00083E3E" w:rsidRPr="00467672">
        <w:rPr>
          <w:sz w:val="22"/>
          <w:szCs w:val="22"/>
          <w:vertAlign w:val="subscript"/>
        </w:rPr>
        <w:t>e</w:t>
      </w:r>
      <w:r w:rsidR="00083E3E" w:rsidRPr="00083E3E">
        <w:rPr>
          <w:sz w:val="22"/>
          <w:szCs w:val="22"/>
        </w:rPr>
        <w:tab/>
      </w:r>
      <w:r w:rsidR="00454154">
        <w:rPr>
          <w:sz w:val="22"/>
          <w:szCs w:val="22"/>
        </w:rPr>
        <w:tab/>
      </w:r>
      <w:r w:rsidR="00454154">
        <w:rPr>
          <w:sz w:val="22"/>
          <w:szCs w:val="22"/>
        </w:rPr>
        <w:tab/>
      </w:r>
      <w:r w:rsidR="00454154">
        <w:rPr>
          <w:sz w:val="22"/>
          <w:szCs w:val="22"/>
        </w:rPr>
        <w:tab/>
      </w:r>
      <w:r w:rsidR="00454154">
        <w:rPr>
          <w:sz w:val="22"/>
          <w:szCs w:val="22"/>
        </w:rPr>
        <w:tab/>
      </w:r>
      <w:r w:rsidR="00454154">
        <w:rPr>
          <w:sz w:val="22"/>
          <w:szCs w:val="22"/>
        </w:rPr>
        <w:tab/>
      </w:r>
      <w:r w:rsidR="00083E3E" w:rsidRPr="00083E3E">
        <w:rPr>
          <w:sz w:val="22"/>
          <w:szCs w:val="22"/>
        </w:rPr>
        <w:tab/>
        <w:t>(3)</w:t>
      </w:r>
    </w:p>
    <w:p w:rsidR="00454154" w:rsidRDefault="00454154" w:rsidP="00256E05">
      <w:pPr>
        <w:jc w:val="both"/>
        <w:rPr>
          <w:sz w:val="22"/>
          <w:szCs w:val="22"/>
        </w:rPr>
      </w:pPr>
    </w:p>
    <w:p w:rsidR="00083E3E" w:rsidRPr="00083E3E" w:rsidRDefault="00083E3E" w:rsidP="00256E05">
      <w:pPr>
        <w:jc w:val="both"/>
        <w:rPr>
          <w:sz w:val="22"/>
          <w:szCs w:val="22"/>
        </w:rPr>
      </w:pPr>
      <w:r w:rsidRPr="00083E3E">
        <w:rPr>
          <w:sz w:val="22"/>
          <w:szCs w:val="22"/>
        </w:rPr>
        <w:t>where K</w:t>
      </w:r>
      <w:r w:rsidRPr="00850043">
        <w:rPr>
          <w:sz w:val="22"/>
          <w:szCs w:val="22"/>
          <w:vertAlign w:val="subscript"/>
        </w:rPr>
        <w:t>F</w:t>
      </w:r>
      <w:r w:rsidRPr="00083E3E">
        <w:rPr>
          <w:sz w:val="22"/>
          <w:szCs w:val="22"/>
        </w:rPr>
        <w:t xml:space="preserve"> and n are Freundlich constants which K</w:t>
      </w:r>
      <w:r w:rsidRPr="00850043">
        <w:rPr>
          <w:sz w:val="22"/>
          <w:szCs w:val="22"/>
          <w:vertAlign w:val="subscript"/>
        </w:rPr>
        <w:t>F</w:t>
      </w:r>
      <w:r w:rsidRPr="00083E3E">
        <w:rPr>
          <w:sz w:val="22"/>
          <w:szCs w:val="22"/>
        </w:rPr>
        <w:t xml:space="preserve"> is the adsorption capacity of the adsorbent (mg/g</w:t>
      </w:r>
      <w:r w:rsidR="00633F9B">
        <w:rPr>
          <w:sz w:val="22"/>
          <w:szCs w:val="22"/>
        </w:rPr>
        <w:t>)</w:t>
      </w:r>
      <w:r w:rsidRPr="00083E3E">
        <w:rPr>
          <w:sz w:val="22"/>
          <w:szCs w:val="22"/>
        </w:rPr>
        <w:t>(L/mg)</w:t>
      </w:r>
      <w:r w:rsidRPr="00850043">
        <w:rPr>
          <w:sz w:val="22"/>
          <w:szCs w:val="22"/>
          <w:vertAlign w:val="superscript"/>
        </w:rPr>
        <w:t>1/n</w:t>
      </w:r>
      <w:r w:rsidRPr="00083E3E">
        <w:rPr>
          <w:sz w:val="22"/>
          <w:szCs w:val="22"/>
        </w:rPr>
        <w:t xml:space="preserve"> and n is a measure of favourability of the adsorption process. The plot of ln q</w:t>
      </w:r>
      <w:r w:rsidRPr="00F600B6">
        <w:rPr>
          <w:sz w:val="22"/>
          <w:szCs w:val="22"/>
          <w:vertAlign w:val="subscript"/>
        </w:rPr>
        <w:t>e</w:t>
      </w:r>
      <w:r w:rsidRPr="00083E3E">
        <w:rPr>
          <w:sz w:val="22"/>
          <w:szCs w:val="22"/>
        </w:rPr>
        <w:t xml:space="preserve"> against ln C</w:t>
      </w:r>
      <w:r w:rsidRPr="00F600B6">
        <w:rPr>
          <w:sz w:val="22"/>
          <w:szCs w:val="22"/>
          <w:vertAlign w:val="subscript"/>
        </w:rPr>
        <w:t>e</w:t>
      </w:r>
      <w:r w:rsidRPr="00083E3E">
        <w:rPr>
          <w:sz w:val="22"/>
          <w:szCs w:val="22"/>
        </w:rPr>
        <w:t xml:space="preserve"> would give the value of K</w:t>
      </w:r>
      <w:r w:rsidRPr="00850043">
        <w:rPr>
          <w:sz w:val="22"/>
          <w:szCs w:val="22"/>
          <w:vertAlign w:val="subscript"/>
        </w:rPr>
        <w:t>F</w:t>
      </w:r>
      <w:r w:rsidRPr="00083E3E">
        <w:rPr>
          <w:sz w:val="22"/>
          <w:szCs w:val="22"/>
        </w:rPr>
        <w:t xml:space="preserve"> and n.</w:t>
      </w:r>
    </w:p>
    <w:p w:rsidR="00083E3E" w:rsidRPr="00083E3E" w:rsidRDefault="00083E3E" w:rsidP="00256E05">
      <w:pPr>
        <w:jc w:val="both"/>
        <w:rPr>
          <w:sz w:val="22"/>
          <w:szCs w:val="22"/>
        </w:rPr>
      </w:pPr>
    </w:p>
    <w:p w:rsidR="00083E3E" w:rsidRPr="00BC2E9E" w:rsidRDefault="00083E3E" w:rsidP="00256E05">
      <w:pPr>
        <w:jc w:val="both"/>
        <w:rPr>
          <w:i/>
          <w:sz w:val="22"/>
          <w:szCs w:val="22"/>
        </w:rPr>
      </w:pPr>
      <w:r w:rsidRPr="00BC2E9E">
        <w:rPr>
          <w:i/>
          <w:sz w:val="22"/>
          <w:szCs w:val="22"/>
        </w:rPr>
        <w:t xml:space="preserve">2.6   </w:t>
      </w:r>
      <w:r w:rsidR="00256E05">
        <w:rPr>
          <w:i/>
          <w:sz w:val="22"/>
          <w:szCs w:val="22"/>
        </w:rPr>
        <w:tab/>
      </w:r>
      <w:r w:rsidRPr="00BC2E9E">
        <w:rPr>
          <w:i/>
          <w:sz w:val="22"/>
          <w:szCs w:val="22"/>
        </w:rPr>
        <w:t>Adsorption Kinetics</w:t>
      </w:r>
    </w:p>
    <w:p w:rsidR="00256E05" w:rsidRDefault="00256E05" w:rsidP="00256E05">
      <w:pPr>
        <w:jc w:val="both"/>
        <w:rPr>
          <w:sz w:val="22"/>
          <w:szCs w:val="22"/>
        </w:rPr>
      </w:pPr>
    </w:p>
    <w:p w:rsidR="00083E3E" w:rsidRPr="00083E3E" w:rsidRDefault="00083E3E" w:rsidP="00256E05">
      <w:pPr>
        <w:jc w:val="both"/>
        <w:rPr>
          <w:sz w:val="22"/>
          <w:szCs w:val="22"/>
        </w:rPr>
      </w:pPr>
      <w:r w:rsidRPr="00083E3E">
        <w:rPr>
          <w:sz w:val="22"/>
          <w:szCs w:val="22"/>
        </w:rPr>
        <w:t>The kinetics data obtained were fitted to pseudo-first-order and pseudo-second-order kinetic models to determine the adsorption mechanism. The pseudo-first-order (Eq. 4) (Kannan and Sundaram, 2001) and pseudo-second-order (Eq. 5) (Yang and Al-Duri, 2005) equations can be expressed as:</w:t>
      </w:r>
    </w:p>
    <w:p w:rsidR="00454154" w:rsidRDefault="00454154" w:rsidP="00256E05">
      <w:pPr>
        <w:jc w:val="both"/>
        <w:rPr>
          <w:sz w:val="22"/>
          <w:szCs w:val="22"/>
        </w:rPr>
      </w:pPr>
    </w:p>
    <w:p w:rsidR="00083E3E" w:rsidRPr="00083E3E" w:rsidRDefault="00467672" w:rsidP="00256E05">
      <w:pPr>
        <w:tabs>
          <w:tab w:val="left" w:pos="450"/>
        </w:tabs>
        <w:jc w:val="both"/>
        <w:rPr>
          <w:sz w:val="22"/>
          <w:szCs w:val="22"/>
        </w:rPr>
      </w:pPr>
      <w:r>
        <w:rPr>
          <w:sz w:val="22"/>
          <w:szCs w:val="22"/>
        </w:rPr>
        <w:tab/>
      </w:r>
      <w:r w:rsidR="00083E3E" w:rsidRPr="00083E3E">
        <w:rPr>
          <w:sz w:val="22"/>
          <w:szCs w:val="22"/>
        </w:rPr>
        <w:t>ln (q</w:t>
      </w:r>
      <w:r w:rsidR="00083E3E" w:rsidRPr="00467672">
        <w:rPr>
          <w:sz w:val="22"/>
          <w:szCs w:val="22"/>
          <w:vertAlign w:val="subscript"/>
        </w:rPr>
        <w:t>e</w:t>
      </w:r>
      <w:r w:rsidR="00083E3E" w:rsidRPr="00083E3E">
        <w:rPr>
          <w:sz w:val="22"/>
          <w:szCs w:val="22"/>
        </w:rPr>
        <w:t xml:space="preserve"> – q</w:t>
      </w:r>
      <w:r w:rsidR="00083E3E" w:rsidRPr="00467672">
        <w:rPr>
          <w:sz w:val="22"/>
          <w:szCs w:val="22"/>
          <w:vertAlign w:val="subscript"/>
        </w:rPr>
        <w:t>t</w:t>
      </w:r>
      <w:r w:rsidR="00083E3E" w:rsidRPr="00083E3E">
        <w:rPr>
          <w:sz w:val="22"/>
          <w:szCs w:val="22"/>
        </w:rPr>
        <w:t>) = ln q</w:t>
      </w:r>
      <w:r w:rsidR="00083E3E" w:rsidRPr="00467672">
        <w:rPr>
          <w:sz w:val="22"/>
          <w:szCs w:val="22"/>
          <w:vertAlign w:val="subscript"/>
        </w:rPr>
        <w:t>e</w:t>
      </w:r>
      <w:r w:rsidR="00083E3E" w:rsidRPr="00083E3E">
        <w:rPr>
          <w:sz w:val="22"/>
          <w:szCs w:val="22"/>
        </w:rPr>
        <w:t xml:space="preserve"> – k</w:t>
      </w:r>
      <w:r w:rsidR="00083E3E" w:rsidRPr="00467672">
        <w:rPr>
          <w:sz w:val="22"/>
          <w:szCs w:val="22"/>
          <w:vertAlign w:val="subscript"/>
        </w:rPr>
        <w:t>1</w:t>
      </w:r>
      <w:r w:rsidR="00083E3E" w:rsidRPr="00083E3E">
        <w:rPr>
          <w:sz w:val="22"/>
          <w:szCs w:val="22"/>
        </w:rPr>
        <w:t xml:space="preserve">t </w:t>
      </w:r>
      <w:r w:rsidR="00083E3E" w:rsidRPr="00083E3E">
        <w:rPr>
          <w:sz w:val="22"/>
          <w:szCs w:val="22"/>
        </w:rPr>
        <w:tab/>
      </w:r>
      <w:r w:rsidR="00083E3E" w:rsidRPr="00083E3E">
        <w:rPr>
          <w:sz w:val="22"/>
          <w:szCs w:val="22"/>
        </w:rPr>
        <w:tab/>
      </w:r>
      <w:r w:rsidR="00083E3E" w:rsidRPr="00083E3E">
        <w:rPr>
          <w:sz w:val="22"/>
          <w:szCs w:val="22"/>
        </w:rPr>
        <w:tab/>
      </w:r>
      <w:r w:rsidR="00454154">
        <w:rPr>
          <w:sz w:val="22"/>
          <w:szCs w:val="22"/>
        </w:rPr>
        <w:tab/>
      </w:r>
      <w:r w:rsidR="00454154">
        <w:rPr>
          <w:sz w:val="22"/>
          <w:szCs w:val="22"/>
        </w:rPr>
        <w:tab/>
      </w:r>
      <w:r w:rsidR="00454154">
        <w:rPr>
          <w:sz w:val="22"/>
          <w:szCs w:val="22"/>
        </w:rPr>
        <w:tab/>
      </w:r>
      <w:r w:rsidR="00454154">
        <w:rPr>
          <w:sz w:val="22"/>
          <w:szCs w:val="22"/>
        </w:rPr>
        <w:tab/>
      </w:r>
      <w:r w:rsidR="00083E3E" w:rsidRPr="00083E3E">
        <w:rPr>
          <w:sz w:val="22"/>
          <w:szCs w:val="22"/>
        </w:rPr>
        <w:t>(4)</w:t>
      </w:r>
    </w:p>
    <w:p w:rsidR="00454154" w:rsidRDefault="00454154" w:rsidP="00256E05">
      <w:pPr>
        <w:jc w:val="both"/>
        <w:rPr>
          <w:sz w:val="22"/>
          <w:szCs w:val="22"/>
        </w:rPr>
      </w:pPr>
    </w:p>
    <w:p w:rsidR="00083E3E" w:rsidRPr="00083E3E" w:rsidRDefault="00083E3E" w:rsidP="00256E05">
      <w:pPr>
        <w:jc w:val="both"/>
        <w:rPr>
          <w:sz w:val="22"/>
          <w:szCs w:val="22"/>
        </w:rPr>
      </w:pPr>
      <w:r w:rsidRPr="00083E3E">
        <w:rPr>
          <w:sz w:val="22"/>
          <w:szCs w:val="22"/>
        </w:rPr>
        <w:t>where q</w:t>
      </w:r>
      <w:r w:rsidRPr="00850043">
        <w:rPr>
          <w:sz w:val="22"/>
          <w:szCs w:val="22"/>
          <w:vertAlign w:val="subscript"/>
        </w:rPr>
        <w:t>e</w:t>
      </w:r>
      <w:r w:rsidRPr="00083E3E">
        <w:rPr>
          <w:sz w:val="22"/>
          <w:szCs w:val="22"/>
        </w:rPr>
        <w:t xml:space="preserve"> and q</w:t>
      </w:r>
      <w:r w:rsidRPr="00850043">
        <w:rPr>
          <w:sz w:val="22"/>
          <w:szCs w:val="22"/>
          <w:vertAlign w:val="subscript"/>
        </w:rPr>
        <w:t>t</w:t>
      </w:r>
      <w:r w:rsidRPr="00083E3E">
        <w:rPr>
          <w:sz w:val="22"/>
          <w:szCs w:val="22"/>
        </w:rPr>
        <w:t xml:space="preserve"> are the amounts of adsorbate adsorbed (mg/g) at equilibrium and at time t, respectively, and k</w:t>
      </w:r>
      <w:r w:rsidRPr="00850043">
        <w:rPr>
          <w:sz w:val="22"/>
          <w:szCs w:val="22"/>
          <w:vertAlign w:val="subscript"/>
        </w:rPr>
        <w:t>1</w:t>
      </w:r>
      <w:r w:rsidRPr="00083E3E">
        <w:rPr>
          <w:sz w:val="22"/>
          <w:szCs w:val="22"/>
        </w:rPr>
        <w:t xml:space="preserve"> is the adsorption rate constant (min</w:t>
      </w:r>
      <w:r w:rsidRPr="00850043">
        <w:rPr>
          <w:sz w:val="22"/>
          <w:szCs w:val="22"/>
          <w:vertAlign w:val="superscript"/>
        </w:rPr>
        <w:t>-1</w:t>
      </w:r>
      <w:r w:rsidRPr="00083E3E">
        <w:rPr>
          <w:sz w:val="22"/>
          <w:szCs w:val="22"/>
        </w:rPr>
        <w:t>). Constant k</w:t>
      </w:r>
      <w:r w:rsidRPr="00850043">
        <w:rPr>
          <w:sz w:val="22"/>
          <w:szCs w:val="22"/>
          <w:vertAlign w:val="subscript"/>
        </w:rPr>
        <w:t>1</w:t>
      </w:r>
      <w:r w:rsidRPr="00083E3E">
        <w:rPr>
          <w:sz w:val="22"/>
          <w:szCs w:val="22"/>
        </w:rPr>
        <w:t xml:space="preserve"> and q</w:t>
      </w:r>
      <w:r w:rsidRPr="00850043">
        <w:rPr>
          <w:sz w:val="22"/>
          <w:szCs w:val="22"/>
          <w:vertAlign w:val="subscript"/>
        </w:rPr>
        <w:t>e</w:t>
      </w:r>
      <w:r w:rsidRPr="00083E3E">
        <w:rPr>
          <w:sz w:val="22"/>
          <w:szCs w:val="22"/>
        </w:rPr>
        <w:t xml:space="preserve"> could be calculated from the plot of ln (q</w:t>
      </w:r>
      <w:r w:rsidRPr="00850043">
        <w:rPr>
          <w:sz w:val="22"/>
          <w:szCs w:val="22"/>
          <w:vertAlign w:val="subscript"/>
        </w:rPr>
        <w:t>e</w:t>
      </w:r>
      <w:r w:rsidRPr="00083E3E">
        <w:rPr>
          <w:sz w:val="22"/>
          <w:szCs w:val="22"/>
        </w:rPr>
        <w:t xml:space="preserve"> – q</w:t>
      </w:r>
      <w:r w:rsidRPr="00850043">
        <w:rPr>
          <w:sz w:val="22"/>
          <w:szCs w:val="22"/>
          <w:vertAlign w:val="subscript"/>
        </w:rPr>
        <w:t>t</w:t>
      </w:r>
      <w:r w:rsidRPr="00083E3E">
        <w:rPr>
          <w:sz w:val="22"/>
          <w:szCs w:val="22"/>
        </w:rPr>
        <w:t xml:space="preserve">) versus time t. </w:t>
      </w:r>
    </w:p>
    <w:p w:rsidR="00454154" w:rsidRDefault="00454154" w:rsidP="00256E05">
      <w:pPr>
        <w:jc w:val="both"/>
        <w:rPr>
          <w:sz w:val="22"/>
          <w:szCs w:val="22"/>
        </w:rPr>
      </w:pPr>
    </w:p>
    <w:p w:rsidR="00083E3E" w:rsidRDefault="00467672" w:rsidP="00256E05">
      <w:pPr>
        <w:tabs>
          <w:tab w:val="left" w:pos="450"/>
        </w:tabs>
        <w:jc w:val="both"/>
        <w:rPr>
          <w:sz w:val="22"/>
          <w:szCs w:val="22"/>
        </w:rPr>
      </w:pPr>
      <w:r>
        <w:rPr>
          <w:sz w:val="22"/>
          <w:szCs w:val="22"/>
        </w:rPr>
        <w:tab/>
      </w:r>
      <w:r w:rsidR="00083E3E" w:rsidRPr="00083E3E">
        <w:rPr>
          <w:sz w:val="22"/>
          <w:szCs w:val="22"/>
        </w:rPr>
        <w:t>t/q</w:t>
      </w:r>
      <w:r w:rsidR="00083E3E" w:rsidRPr="00850043">
        <w:rPr>
          <w:sz w:val="22"/>
          <w:szCs w:val="22"/>
          <w:vertAlign w:val="subscript"/>
        </w:rPr>
        <w:t>t</w:t>
      </w:r>
      <w:r w:rsidR="00083E3E" w:rsidRPr="00083E3E">
        <w:rPr>
          <w:sz w:val="22"/>
          <w:szCs w:val="22"/>
        </w:rPr>
        <w:t xml:space="preserve"> = 1/k</w:t>
      </w:r>
      <w:r w:rsidR="00083E3E" w:rsidRPr="00467672">
        <w:rPr>
          <w:sz w:val="22"/>
          <w:szCs w:val="22"/>
          <w:vertAlign w:val="subscript"/>
        </w:rPr>
        <w:t>2</w:t>
      </w:r>
      <w:r w:rsidR="00083E3E" w:rsidRPr="00083E3E">
        <w:rPr>
          <w:sz w:val="22"/>
          <w:szCs w:val="22"/>
        </w:rPr>
        <w:t xml:space="preserve"> q</w:t>
      </w:r>
      <w:r w:rsidR="00850043">
        <w:rPr>
          <w:sz w:val="22"/>
          <w:szCs w:val="22"/>
          <w:vertAlign w:val="subscript"/>
        </w:rPr>
        <w:t>e</w:t>
      </w:r>
      <w:r w:rsidR="00850043" w:rsidRPr="00850043">
        <w:rPr>
          <w:sz w:val="22"/>
          <w:szCs w:val="22"/>
          <w:vertAlign w:val="superscript"/>
        </w:rPr>
        <w:t>2</w:t>
      </w:r>
      <w:r w:rsidR="00083E3E" w:rsidRPr="00083E3E">
        <w:rPr>
          <w:sz w:val="22"/>
          <w:szCs w:val="22"/>
        </w:rPr>
        <w:t xml:space="preserve"> + (1/q</w:t>
      </w:r>
      <w:r w:rsidR="00083E3E" w:rsidRPr="00850043">
        <w:rPr>
          <w:sz w:val="22"/>
          <w:szCs w:val="22"/>
          <w:vertAlign w:val="subscript"/>
        </w:rPr>
        <w:t>e</w:t>
      </w:r>
      <w:r w:rsidR="00083E3E" w:rsidRPr="00083E3E">
        <w:rPr>
          <w:sz w:val="22"/>
          <w:szCs w:val="22"/>
        </w:rPr>
        <w:t>) t</w:t>
      </w:r>
      <w:r w:rsidR="00454154">
        <w:rPr>
          <w:sz w:val="22"/>
          <w:szCs w:val="22"/>
        </w:rPr>
        <w:tab/>
      </w:r>
      <w:r w:rsidR="00454154">
        <w:rPr>
          <w:sz w:val="22"/>
          <w:szCs w:val="22"/>
        </w:rPr>
        <w:tab/>
      </w:r>
      <w:r w:rsidR="00454154">
        <w:rPr>
          <w:sz w:val="22"/>
          <w:szCs w:val="22"/>
        </w:rPr>
        <w:tab/>
      </w:r>
      <w:r w:rsidR="00083E3E" w:rsidRPr="00083E3E">
        <w:rPr>
          <w:sz w:val="22"/>
          <w:szCs w:val="22"/>
        </w:rPr>
        <w:tab/>
      </w:r>
      <w:r w:rsidR="00083E3E" w:rsidRPr="00083E3E">
        <w:rPr>
          <w:sz w:val="22"/>
          <w:szCs w:val="22"/>
        </w:rPr>
        <w:tab/>
      </w:r>
      <w:r w:rsidR="00083E3E" w:rsidRPr="00083E3E">
        <w:rPr>
          <w:sz w:val="22"/>
          <w:szCs w:val="22"/>
        </w:rPr>
        <w:tab/>
      </w:r>
      <w:r w:rsidR="00083E3E" w:rsidRPr="00083E3E">
        <w:rPr>
          <w:sz w:val="22"/>
          <w:szCs w:val="22"/>
        </w:rPr>
        <w:tab/>
        <w:t>(5)</w:t>
      </w:r>
    </w:p>
    <w:p w:rsidR="00454154" w:rsidRPr="00083E3E" w:rsidRDefault="00454154" w:rsidP="00256E05">
      <w:pPr>
        <w:jc w:val="both"/>
        <w:rPr>
          <w:sz w:val="22"/>
          <w:szCs w:val="22"/>
        </w:rPr>
      </w:pPr>
    </w:p>
    <w:p w:rsidR="00083E3E" w:rsidRPr="00584256" w:rsidRDefault="00083E3E" w:rsidP="00256E05">
      <w:pPr>
        <w:jc w:val="both"/>
        <w:rPr>
          <w:sz w:val="22"/>
          <w:szCs w:val="22"/>
        </w:rPr>
      </w:pPr>
      <w:r w:rsidRPr="00083E3E">
        <w:rPr>
          <w:sz w:val="22"/>
          <w:szCs w:val="22"/>
        </w:rPr>
        <w:t>where k</w:t>
      </w:r>
      <w:r w:rsidRPr="00850043">
        <w:rPr>
          <w:sz w:val="22"/>
          <w:szCs w:val="22"/>
          <w:vertAlign w:val="subscript"/>
        </w:rPr>
        <w:t>2</w:t>
      </w:r>
      <w:r w:rsidRPr="00083E3E">
        <w:rPr>
          <w:sz w:val="22"/>
          <w:szCs w:val="22"/>
        </w:rPr>
        <w:t xml:space="preserve"> is the rate constant of second-order adsorption (g/mg min). The plot of t/q</w:t>
      </w:r>
      <w:r w:rsidRPr="00850043">
        <w:rPr>
          <w:sz w:val="22"/>
          <w:szCs w:val="22"/>
          <w:vertAlign w:val="subscript"/>
        </w:rPr>
        <w:t>t</w:t>
      </w:r>
      <w:r w:rsidRPr="00083E3E">
        <w:rPr>
          <w:sz w:val="22"/>
          <w:szCs w:val="22"/>
        </w:rPr>
        <w:t xml:space="preserve"> against t would give the value of k</w:t>
      </w:r>
      <w:r w:rsidRPr="00850043">
        <w:rPr>
          <w:sz w:val="22"/>
          <w:szCs w:val="22"/>
          <w:vertAlign w:val="subscript"/>
        </w:rPr>
        <w:t>2</w:t>
      </w:r>
      <w:r w:rsidRPr="00083E3E">
        <w:rPr>
          <w:sz w:val="22"/>
          <w:szCs w:val="22"/>
        </w:rPr>
        <w:t xml:space="preserve"> and q</w:t>
      </w:r>
      <w:r w:rsidRPr="00850043">
        <w:rPr>
          <w:sz w:val="22"/>
          <w:szCs w:val="22"/>
          <w:vertAlign w:val="subscript"/>
        </w:rPr>
        <w:t>e</w:t>
      </w:r>
      <w:r w:rsidRPr="00083E3E">
        <w:rPr>
          <w:sz w:val="22"/>
          <w:szCs w:val="22"/>
        </w:rPr>
        <w:t>.</w:t>
      </w:r>
    </w:p>
    <w:p w:rsidR="0076365A" w:rsidRDefault="0076365A" w:rsidP="00256E05">
      <w:pPr>
        <w:rPr>
          <w:sz w:val="22"/>
          <w:szCs w:val="22"/>
        </w:rPr>
      </w:pPr>
    </w:p>
    <w:p w:rsidR="00256E05" w:rsidRPr="00584256" w:rsidRDefault="00256E05" w:rsidP="00256E05">
      <w:pPr>
        <w:rPr>
          <w:sz w:val="22"/>
          <w:szCs w:val="22"/>
        </w:rPr>
      </w:pPr>
    </w:p>
    <w:p w:rsidR="00257AAA" w:rsidRPr="00584256" w:rsidRDefault="007660FC" w:rsidP="00256E05">
      <w:pPr>
        <w:jc w:val="both"/>
        <w:rPr>
          <w:b/>
          <w:sz w:val="22"/>
          <w:szCs w:val="22"/>
        </w:rPr>
      </w:pPr>
      <w:r w:rsidRPr="00584256">
        <w:rPr>
          <w:b/>
          <w:sz w:val="22"/>
          <w:szCs w:val="22"/>
        </w:rPr>
        <w:t xml:space="preserve">3.0 </w:t>
      </w:r>
      <w:r w:rsidR="00256E05">
        <w:rPr>
          <w:b/>
          <w:sz w:val="22"/>
          <w:szCs w:val="22"/>
        </w:rPr>
        <w:tab/>
      </w:r>
      <w:r w:rsidR="00083E3E">
        <w:rPr>
          <w:b/>
          <w:sz w:val="22"/>
          <w:szCs w:val="22"/>
        </w:rPr>
        <w:t>Results and Discussion</w:t>
      </w:r>
    </w:p>
    <w:p w:rsidR="00256E05" w:rsidRDefault="00256E05" w:rsidP="00256E05">
      <w:pPr>
        <w:autoSpaceDE w:val="0"/>
        <w:autoSpaceDN w:val="0"/>
        <w:adjustRightInd w:val="0"/>
        <w:jc w:val="both"/>
        <w:rPr>
          <w:i/>
          <w:sz w:val="22"/>
          <w:szCs w:val="22"/>
        </w:rPr>
      </w:pPr>
    </w:p>
    <w:p w:rsidR="00E551AA" w:rsidRDefault="00E551AA" w:rsidP="00256E05">
      <w:pPr>
        <w:autoSpaceDE w:val="0"/>
        <w:autoSpaceDN w:val="0"/>
        <w:adjustRightInd w:val="0"/>
        <w:jc w:val="both"/>
        <w:rPr>
          <w:i/>
          <w:sz w:val="22"/>
          <w:szCs w:val="22"/>
        </w:rPr>
      </w:pPr>
      <w:r w:rsidRPr="00F73D50">
        <w:rPr>
          <w:i/>
          <w:sz w:val="22"/>
          <w:szCs w:val="22"/>
        </w:rPr>
        <w:t xml:space="preserve">3.1   </w:t>
      </w:r>
      <w:r w:rsidR="00256E05">
        <w:rPr>
          <w:i/>
          <w:sz w:val="22"/>
          <w:szCs w:val="22"/>
        </w:rPr>
        <w:tab/>
      </w:r>
      <w:r w:rsidRPr="00F73D50">
        <w:rPr>
          <w:i/>
          <w:sz w:val="22"/>
          <w:szCs w:val="22"/>
        </w:rPr>
        <w:t>Characterisation of Adsorbent</w:t>
      </w:r>
    </w:p>
    <w:p w:rsidR="00256E05" w:rsidRDefault="00256E05" w:rsidP="00256E05">
      <w:pPr>
        <w:autoSpaceDE w:val="0"/>
        <w:autoSpaceDN w:val="0"/>
        <w:adjustRightInd w:val="0"/>
        <w:jc w:val="both"/>
        <w:rPr>
          <w:i/>
          <w:sz w:val="22"/>
          <w:szCs w:val="22"/>
        </w:rPr>
      </w:pPr>
    </w:p>
    <w:p w:rsidR="00257AAA" w:rsidRPr="00584256" w:rsidRDefault="00E551AA" w:rsidP="00256E05">
      <w:pPr>
        <w:autoSpaceDE w:val="0"/>
        <w:autoSpaceDN w:val="0"/>
        <w:adjustRightInd w:val="0"/>
        <w:jc w:val="both"/>
        <w:rPr>
          <w:sz w:val="22"/>
          <w:szCs w:val="22"/>
        </w:rPr>
      </w:pPr>
      <w:r w:rsidRPr="00E551AA">
        <w:rPr>
          <w:sz w:val="22"/>
          <w:szCs w:val="22"/>
        </w:rPr>
        <w:t>The SEM micrographs of the raw oil palm shell, oil palm shell-based adsorbent treated with H</w:t>
      </w:r>
      <w:r w:rsidRPr="005833C6">
        <w:rPr>
          <w:sz w:val="22"/>
          <w:szCs w:val="22"/>
          <w:vertAlign w:val="subscript"/>
        </w:rPr>
        <w:t>2</w:t>
      </w:r>
      <w:r w:rsidRPr="00E551AA">
        <w:rPr>
          <w:sz w:val="22"/>
          <w:szCs w:val="22"/>
        </w:rPr>
        <w:t>SO</w:t>
      </w:r>
      <w:r w:rsidRPr="005833C6">
        <w:rPr>
          <w:sz w:val="22"/>
          <w:szCs w:val="22"/>
          <w:vertAlign w:val="subscript"/>
        </w:rPr>
        <w:t>4</w:t>
      </w:r>
      <w:r w:rsidRPr="00E551AA">
        <w:rPr>
          <w:sz w:val="22"/>
          <w:szCs w:val="22"/>
        </w:rPr>
        <w:t>, activated carbon and oil palm shell-based adsorbent after adsorption of atrazine are presented in Figures 1(a), (b), (c) and (d), respectively. From Figure 1(a), the SEM micrograph shows dirt-covered and unclear pores on the surface of raw oil palm shell. There were very small pores present on the surface of the raw oil palm shell. Chemical activation with H</w:t>
      </w:r>
      <w:r w:rsidRPr="005833C6">
        <w:rPr>
          <w:sz w:val="22"/>
          <w:szCs w:val="22"/>
          <w:vertAlign w:val="subscript"/>
        </w:rPr>
        <w:t>2</w:t>
      </w:r>
      <w:r w:rsidRPr="00E551AA">
        <w:rPr>
          <w:sz w:val="22"/>
          <w:szCs w:val="22"/>
        </w:rPr>
        <w:t>SO</w:t>
      </w:r>
      <w:r w:rsidRPr="005833C6">
        <w:rPr>
          <w:sz w:val="22"/>
          <w:szCs w:val="22"/>
          <w:vertAlign w:val="subscript"/>
        </w:rPr>
        <w:t>4</w:t>
      </w:r>
      <w:r w:rsidRPr="00E551AA">
        <w:rPr>
          <w:sz w:val="22"/>
          <w:szCs w:val="22"/>
        </w:rPr>
        <w:t xml:space="preserve"> on the oil palm shell-based adsorbent resulted in the development of pores, as shown in Figure 1(b). However, the pores developed were not deep enough for high adsorption of atrazine. Meanwhile, the pores found on the surface of the activated carbon were relatively larger. It could be seen that the external surface of activated carbon was full of clear and deep pores, as illustrated in Figure 1(c). Owing to these well-developed pores, the activated carbon possessed higher surface area and adsorptive capacity (Guo and Lua, 1998). From Figure 1(d), it could be observed that there were some atrazine molecules adsorbed on the surface of the oil palm shell-based adsorbent. However, the pores developed on the surface of the adsorbent were slightly being occupied by the atrazine molecules.</w:t>
      </w:r>
    </w:p>
    <w:p w:rsidR="00E551AA" w:rsidRDefault="00E551AA" w:rsidP="00256E05">
      <w:pPr>
        <w:autoSpaceDE w:val="0"/>
        <w:autoSpaceDN w:val="0"/>
        <w:adjustRightInd w:val="0"/>
        <w:jc w:val="both"/>
        <w:rPr>
          <w:sz w:val="22"/>
          <w:szCs w:val="22"/>
        </w:rPr>
      </w:pPr>
    </w:p>
    <w:tbl>
      <w:tblPr>
        <w:tblW w:w="0" w:type="auto"/>
        <w:jc w:val="center"/>
        <w:tblLayout w:type="fixed"/>
        <w:tblLook w:val="00A0" w:firstRow="1" w:lastRow="0" w:firstColumn="1" w:lastColumn="0" w:noHBand="0" w:noVBand="0"/>
      </w:tblPr>
      <w:tblGrid>
        <w:gridCol w:w="3706"/>
        <w:gridCol w:w="3706"/>
      </w:tblGrid>
      <w:tr w:rsidR="0089560B" w:rsidRPr="00F87E64" w:rsidTr="00E46827">
        <w:trPr>
          <w:jc w:val="center"/>
        </w:trPr>
        <w:tc>
          <w:tcPr>
            <w:tcW w:w="3706" w:type="dxa"/>
          </w:tcPr>
          <w:p w:rsidR="0089560B" w:rsidRPr="009E7F6D" w:rsidRDefault="0089560B" w:rsidP="00256E05">
            <w:pPr>
              <w:adjustRightInd w:val="0"/>
              <w:jc w:val="center"/>
              <w:rPr>
                <w:sz w:val="22"/>
                <w:szCs w:val="22"/>
                <w:lang w:val="en-MY"/>
              </w:rPr>
            </w:pPr>
            <w:r w:rsidRPr="009E7F6D">
              <w:rPr>
                <w:noProof/>
                <w:sz w:val="22"/>
                <w:szCs w:val="22"/>
                <w:lang w:val="en-US" w:eastAsia="ja-JP"/>
              </w:rPr>
              <w:drawing>
                <wp:inline distT="0" distB="0" distL="0" distR="0" wp14:anchorId="0AEC94D8" wp14:editId="3116CE9A">
                  <wp:extent cx="2105025"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485900"/>
                          </a:xfrm>
                          <a:prstGeom prst="rect">
                            <a:avLst/>
                          </a:prstGeom>
                          <a:noFill/>
                          <a:ln>
                            <a:noFill/>
                          </a:ln>
                        </pic:spPr>
                      </pic:pic>
                    </a:graphicData>
                  </a:graphic>
                </wp:inline>
              </w:drawing>
            </w:r>
          </w:p>
          <w:p w:rsidR="0089560B" w:rsidRPr="009E7F6D" w:rsidRDefault="0089560B" w:rsidP="00256E05">
            <w:pPr>
              <w:adjustRightInd w:val="0"/>
              <w:jc w:val="center"/>
              <w:rPr>
                <w:sz w:val="22"/>
                <w:szCs w:val="22"/>
                <w:lang w:val="en-MY"/>
              </w:rPr>
            </w:pPr>
            <w:r w:rsidRPr="009E7F6D">
              <w:rPr>
                <w:sz w:val="22"/>
                <w:szCs w:val="22"/>
                <w:lang w:val="en-MY"/>
              </w:rPr>
              <w:t>(a)</w:t>
            </w:r>
          </w:p>
        </w:tc>
        <w:tc>
          <w:tcPr>
            <w:tcW w:w="3706" w:type="dxa"/>
          </w:tcPr>
          <w:p w:rsidR="0089560B" w:rsidRPr="009E7F6D" w:rsidRDefault="0089560B" w:rsidP="00256E05">
            <w:pPr>
              <w:adjustRightInd w:val="0"/>
              <w:jc w:val="center"/>
              <w:rPr>
                <w:sz w:val="22"/>
                <w:szCs w:val="22"/>
                <w:lang w:val="en-MY"/>
              </w:rPr>
            </w:pPr>
            <w:r w:rsidRPr="009E7F6D">
              <w:rPr>
                <w:noProof/>
                <w:sz w:val="22"/>
                <w:szCs w:val="22"/>
                <w:lang w:val="en-US" w:eastAsia="ja-JP"/>
              </w:rPr>
              <w:drawing>
                <wp:inline distT="0" distB="0" distL="0" distR="0" wp14:anchorId="5300C342" wp14:editId="5F4FA898">
                  <wp:extent cx="21431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438275"/>
                          </a:xfrm>
                          <a:prstGeom prst="rect">
                            <a:avLst/>
                          </a:prstGeom>
                          <a:noFill/>
                          <a:ln>
                            <a:noFill/>
                          </a:ln>
                        </pic:spPr>
                      </pic:pic>
                    </a:graphicData>
                  </a:graphic>
                </wp:inline>
              </w:drawing>
            </w:r>
          </w:p>
          <w:p w:rsidR="0089560B" w:rsidRPr="009E7F6D" w:rsidRDefault="0089560B" w:rsidP="00256E05">
            <w:pPr>
              <w:adjustRightInd w:val="0"/>
              <w:jc w:val="center"/>
              <w:rPr>
                <w:sz w:val="22"/>
                <w:szCs w:val="22"/>
                <w:lang w:val="en-MY"/>
              </w:rPr>
            </w:pPr>
            <w:r w:rsidRPr="009E7F6D">
              <w:rPr>
                <w:sz w:val="22"/>
                <w:szCs w:val="22"/>
                <w:lang w:val="en-MY"/>
              </w:rPr>
              <w:t>(b)</w:t>
            </w:r>
          </w:p>
        </w:tc>
      </w:tr>
      <w:tr w:rsidR="0089560B" w:rsidRPr="00F87E64" w:rsidTr="00E46827">
        <w:trPr>
          <w:jc w:val="center"/>
        </w:trPr>
        <w:tc>
          <w:tcPr>
            <w:tcW w:w="3706" w:type="dxa"/>
          </w:tcPr>
          <w:p w:rsidR="0089560B" w:rsidRPr="009E7F6D" w:rsidRDefault="0089560B" w:rsidP="00256E05">
            <w:pPr>
              <w:adjustRightInd w:val="0"/>
              <w:jc w:val="center"/>
              <w:rPr>
                <w:sz w:val="22"/>
                <w:szCs w:val="22"/>
                <w:lang w:val="en-MY"/>
              </w:rPr>
            </w:pPr>
            <w:r w:rsidRPr="009E7F6D">
              <w:rPr>
                <w:noProof/>
                <w:sz w:val="22"/>
                <w:szCs w:val="22"/>
                <w:lang w:val="en-US" w:eastAsia="ja-JP"/>
              </w:rPr>
              <w:drawing>
                <wp:inline distT="0" distB="0" distL="0" distR="0" wp14:anchorId="0E03C575" wp14:editId="41BAE51B">
                  <wp:extent cx="2152650" cy="133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333500"/>
                          </a:xfrm>
                          <a:prstGeom prst="rect">
                            <a:avLst/>
                          </a:prstGeom>
                          <a:noFill/>
                          <a:ln>
                            <a:noFill/>
                          </a:ln>
                        </pic:spPr>
                      </pic:pic>
                    </a:graphicData>
                  </a:graphic>
                </wp:inline>
              </w:drawing>
            </w:r>
          </w:p>
          <w:p w:rsidR="0089560B" w:rsidRPr="009E7F6D" w:rsidRDefault="0089560B" w:rsidP="00256E05">
            <w:pPr>
              <w:adjustRightInd w:val="0"/>
              <w:jc w:val="center"/>
              <w:rPr>
                <w:noProof/>
                <w:sz w:val="22"/>
                <w:szCs w:val="22"/>
              </w:rPr>
            </w:pPr>
            <w:r w:rsidRPr="009E7F6D">
              <w:rPr>
                <w:sz w:val="22"/>
                <w:szCs w:val="22"/>
                <w:lang w:val="en-MY"/>
              </w:rPr>
              <w:t>(c)</w:t>
            </w:r>
          </w:p>
        </w:tc>
        <w:tc>
          <w:tcPr>
            <w:tcW w:w="3706" w:type="dxa"/>
          </w:tcPr>
          <w:p w:rsidR="0089560B" w:rsidRPr="009E7F6D" w:rsidRDefault="0089560B" w:rsidP="00256E05">
            <w:pPr>
              <w:adjustRightInd w:val="0"/>
              <w:jc w:val="center"/>
              <w:rPr>
                <w:sz w:val="22"/>
                <w:szCs w:val="22"/>
                <w:lang w:val="en-MY"/>
              </w:rPr>
            </w:pPr>
            <w:r w:rsidRPr="009E7F6D">
              <w:rPr>
                <w:noProof/>
                <w:sz w:val="22"/>
                <w:szCs w:val="22"/>
                <w:lang w:val="en-US" w:eastAsia="ja-JP"/>
              </w:rPr>
              <w:drawing>
                <wp:inline distT="0" distB="0" distL="0" distR="0" wp14:anchorId="39F42137" wp14:editId="65AAFDBD">
                  <wp:extent cx="2143125" cy="133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333500"/>
                          </a:xfrm>
                          <a:prstGeom prst="rect">
                            <a:avLst/>
                          </a:prstGeom>
                          <a:noFill/>
                          <a:ln>
                            <a:noFill/>
                          </a:ln>
                        </pic:spPr>
                      </pic:pic>
                    </a:graphicData>
                  </a:graphic>
                </wp:inline>
              </w:drawing>
            </w:r>
          </w:p>
          <w:p w:rsidR="0089560B" w:rsidRPr="009E7F6D" w:rsidRDefault="0089560B" w:rsidP="00256E05">
            <w:pPr>
              <w:adjustRightInd w:val="0"/>
              <w:jc w:val="center"/>
              <w:rPr>
                <w:noProof/>
                <w:sz w:val="22"/>
                <w:szCs w:val="22"/>
              </w:rPr>
            </w:pPr>
            <w:r w:rsidRPr="009E7F6D">
              <w:rPr>
                <w:sz w:val="22"/>
                <w:szCs w:val="22"/>
                <w:lang w:val="en-MY"/>
              </w:rPr>
              <w:t>(d)</w:t>
            </w:r>
          </w:p>
        </w:tc>
      </w:tr>
    </w:tbl>
    <w:p w:rsidR="0089560B" w:rsidRPr="00256E05" w:rsidRDefault="0089560B" w:rsidP="00256E05">
      <w:pPr>
        <w:adjustRightInd w:val="0"/>
        <w:jc w:val="center"/>
        <w:rPr>
          <w:sz w:val="20"/>
          <w:szCs w:val="20"/>
        </w:rPr>
      </w:pPr>
      <w:r w:rsidRPr="00256E05">
        <w:rPr>
          <w:sz w:val="20"/>
          <w:szCs w:val="20"/>
        </w:rPr>
        <w:t xml:space="preserve">Figure 1: </w:t>
      </w:r>
      <w:r w:rsidRPr="00256E05">
        <w:rPr>
          <w:rFonts w:eastAsia="GulliverRM"/>
          <w:sz w:val="20"/>
          <w:szCs w:val="20"/>
        </w:rPr>
        <w:t xml:space="preserve">SEM micrographs </w:t>
      </w:r>
      <w:r w:rsidRPr="00256E05">
        <w:rPr>
          <w:sz w:val="20"/>
          <w:szCs w:val="20"/>
        </w:rPr>
        <w:t>(3000</w:t>
      </w:r>
      <w:r w:rsidRPr="00256E05">
        <w:rPr>
          <w:rFonts w:eastAsia="GulliverRM"/>
          <w:sz w:val="20"/>
          <w:szCs w:val="20"/>
        </w:rPr>
        <w:t xml:space="preserve"> </w:t>
      </w:r>
      <w:r w:rsidRPr="00256E05">
        <w:rPr>
          <w:sz w:val="20"/>
          <w:szCs w:val="20"/>
        </w:rPr>
        <w:t>x</w:t>
      </w:r>
      <w:r w:rsidRPr="00256E05">
        <w:rPr>
          <w:rFonts w:eastAsia="GulliverRM"/>
          <w:sz w:val="20"/>
          <w:szCs w:val="20"/>
        </w:rPr>
        <w:t xml:space="preserve"> magnification</w:t>
      </w:r>
      <w:r w:rsidRPr="00256E05">
        <w:rPr>
          <w:sz w:val="20"/>
          <w:szCs w:val="20"/>
        </w:rPr>
        <w:t>)</w:t>
      </w:r>
      <w:r w:rsidRPr="00256E05">
        <w:rPr>
          <w:rFonts w:eastAsia="GulliverRM"/>
          <w:sz w:val="20"/>
          <w:szCs w:val="20"/>
        </w:rPr>
        <w:t xml:space="preserve"> of </w:t>
      </w:r>
      <w:r w:rsidRPr="00256E05">
        <w:rPr>
          <w:sz w:val="20"/>
          <w:szCs w:val="20"/>
        </w:rPr>
        <w:t>(a)</w:t>
      </w:r>
      <w:r w:rsidR="0036152A" w:rsidRPr="00256E05">
        <w:rPr>
          <w:sz w:val="20"/>
          <w:szCs w:val="20"/>
        </w:rPr>
        <w:t xml:space="preserve"> R</w:t>
      </w:r>
      <w:r w:rsidRPr="00256E05">
        <w:rPr>
          <w:rFonts w:eastAsia="GulliverRM"/>
          <w:sz w:val="20"/>
          <w:szCs w:val="20"/>
        </w:rPr>
        <w:t xml:space="preserve">raw oil palm shell, </w:t>
      </w:r>
      <w:r w:rsidRPr="00256E05">
        <w:rPr>
          <w:sz w:val="20"/>
          <w:szCs w:val="20"/>
        </w:rPr>
        <w:t xml:space="preserve">(b) </w:t>
      </w:r>
      <w:r w:rsidR="0036152A" w:rsidRPr="00256E05">
        <w:rPr>
          <w:rFonts w:eastAsia="GulliverRM"/>
          <w:sz w:val="20"/>
          <w:szCs w:val="20"/>
        </w:rPr>
        <w:t>O</w:t>
      </w:r>
      <w:r w:rsidRPr="00256E05">
        <w:rPr>
          <w:rFonts w:eastAsia="GulliverRM"/>
          <w:sz w:val="20"/>
          <w:szCs w:val="20"/>
        </w:rPr>
        <w:t>il palm shell-based adsorbent treated with H</w:t>
      </w:r>
      <w:r w:rsidRPr="00256E05">
        <w:rPr>
          <w:rFonts w:eastAsia="GulliverRM"/>
          <w:sz w:val="20"/>
          <w:szCs w:val="20"/>
          <w:vertAlign w:val="subscript"/>
        </w:rPr>
        <w:t>2</w:t>
      </w:r>
      <w:r w:rsidRPr="00256E05">
        <w:rPr>
          <w:rFonts w:eastAsia="GulliverRM"/>
          <w:sz w:val="20"/>
          <w:szCs w:val="20"/>
        </w:rPr>
        <w:t>SO</w:t>
      </w:r>
      <w:r w:rsidRPr="00256E05">
        <w:rPr>
          <w:rFonts w:eastAsia="GulliverRM"/>
          <w:sz w:val="20"/>
          <w:szCs w:val="20"/>
          <w:vertAlign w:val="subscript"/>
        </w:rPr>
        <w:t>4</w:t>
      </w:r>
      <w:r w:rsidRPr="00256E05">
        <w:rPr>
          <w:rFonts w:eastAsia="GulliverRM"/>
          <w:sz w:val="20"/>
          <w:szCs w:val="20"/>
        </w:rPr>
        <w:t xml:space="preserve">, </w:t>
      </w:r>
      <w:r w:rsidRPr="00256E05">
        <w:rPr>
          <w:sz w:val="20"/>
          <w:szCs w:val="20"/>
        </w:rPr>
        <w:t xml:space="preserve">(c) </w:t>
      </w:r>
      <w:r w:rsidR="0036152A" w:rsidRPr="00256E05">
        <w:rPr>
          <w:rFonts w:eastAsia="GulliverRM"/>
          <w:sz w:val="20"/>
          <w:szCs w:val="20"/>
        </w:rPr>
        <w:t>A</w:t>
      </w:r>
      <w:r w:rsidRPr="00256E05">
        <w:rPr>
          <w:rFonts w:eastAsia="GulliverRM"/>
          <w:sz w:val="20"/>
          <w:szCs w:val="20"/>
        </w:rPr>
        <w:t>ctivated carbon</w:t>
      </w:r>
      <w:r w:rsidRPr="00256E05">
        <w:rPr>
          <w:sz w:val="20"/>
          <w:szCs w:val="20"/>
        </w:rPr>
        <w:t xml:space="preserve"> and</w:t>
      </w:r>
      <w:r w:rsidRPr="00256E05">
        <w:rPr>
          <w:rFonts w:eastAsia="GulliverRM"/>
          <w:sz w:val="20"/>
          <w:szCs w:val="20"/>
        </w:rPr>
        <w:t xml:space="preserve"> </w:t>
      </w:r>
      <w:r w:rsidRPr="00256E05">
        <w:rPr>
          <w:sz w:val="20"/>
          <w:szCs w:val="20"/>
        </w:rPr>
        <w:t xml:space="preserve">(d) </w:t>
      </w:r>
      <w:r w:rsidR="0036152A" w:rsidRPr="00256E05">
        <w:rPr>
          <w:rFonts w:eastAsia="GulliverRM"/>
          <w:sz w:val="20"/>
          <w:szCs w:val="20"/>
        </w:rPr>
        <w:t>O</w:t>
      </w:r>
      <w:r w:rsidRPr="00256E05">
        <w:rPr>
          <w:rFonts w:eastAsia="GulliverRM"/>
          <w:sz w:val="20"/>
          <w:szCs w:val="20"/>
        </w:rPr>
        <w:t>il palm shell-based adsorbent after adsorption of atrazine</w:t>
      </w:r>
    </w:p>
    <w:p w:rsidR="0089560B" w:rsidRDefault="0089560B" w:rsidP="00256E05">
      <w:pPr>
        <w:autoSpaceDE w:val="0"/>
        <w:autoSpaceDN w:val="0"/>
        <w:adjustRightInd w:val="0"/>
        <w:jc w:val="both"/>
        <w:rPr>
          <w:sz w:val="22"/>
          <w:szCs w:val="22"/>
        </w:rPr>
      </w:pPr>
    </w:p>
    <w:p w:rsidR="00E551AA" w:rsidRDefault="00E551AA" w:rsidP="00256E05">
      <w:pPr>
        <w:autoSpaceDE w:val="0"/>
        <w:autoSpaceDN w:val="0"/>
        <w:adjustRightInd w:val="0"/>
        <w:jc w:val="both"/>
        <w:rPr>
          <w:sz w:val="22"/>
          <w:szCs w:val="22"/>
        </w:rPr>
      </w:pPr>
      <w:r w:rsidRPr="00E551AA">
        <w:rPr>
          <w:sz w:val="22"/>
          <w:szCs w:val="22"/>
        </w:rPr>
        <w:t>From the FTIR spectrum obtained (data not shown), the presence of chemisorbed water and surface hydroxylic groups in raw oil palm shell was indicated by the absorbance peak of O-H stretching vibration between 3450 and 4000 cm</w:t>
      </w:r>
      <w:r w:rsidRPr="005833C6">
        <w:rPr>
          <w:sz w:val="22"/>
          <w:szCs w:val="22"/>
          <w:vertAlign w:val="superscript"/>
        </w:rPr>
        <w:t>-1</w:t>
      </w:r>
      <w:r w:rsidRPr="00E551AA">
        <w:rPr>
          <w:sz w:val="22"/>
          <w:szCs w:val="22"/>
        </w:rPr>
        <w:t xml:space="preserve"> (Yacob </w:t>
      </w:r>
      <w:r w:rsidR="00B902EC" w:rsidRPr="00B902EC">
        <w:rPr>
          <w:i/>
          <w:sz w:val="22"/>
          <w:szCs w:val="22"/>
        </w:rPr>
        <w:t>et al</w:t>
      </w:r>
      <w:r w:rsidRPr="00E551AA">
        <w:rPr>
          <w:sz w:val="22"/>
          <w:szCs w:val="22"/>
        </w:rPr>
        <w:t xml:space="preserve">., 2008). A </w:t>
      </w:r>
      <w:r w:rsidRPr="00E551AA">
        <w:rPr>
          <w:sz w:val="22"/>
          <w:szCs w:val="22"/>
        </w:rPr>
        <w:lastRenderedPageBreak/>
        <w:t>weak absorbance peak was observed at 2885.51 cm</w:t>
      </w:r>
      <w:r w:rsidRPr="005833C6">
        <w:rPr>
          <w:sz w:val="22"/>
          <w:szCs w:val="22"/>
          <w:vertAlign w:val="superscript"/>
        </w:rPr>
        <w:t>-1</w:t>
      </w:r>
      <w:r w:rsidRPr="00E551AA">
        <w:rPr>
          <w:sz w:val="22"/>
          <w:szCs w:val="22"/>
        </w:rPr>
        <w:t xml:space="preserve"> corresponding to the C–H sp3 stretching (Yacob </w:t>
      </w:r>
      <w:r w:rsidR="00B902EC" w:rsidRPr="00B902EC">
        <w:rPr>
          <w:i/>
          <w:sz w:val="22"/>
          <w:szCs w:val="22"/>
        </w:rPr>
        <w:t>et al</w:t>
      </w:r>
      <w:r w:rsidRPr="00E551AA">
        <w:rPr>
          <w:sz w:val="22"/>
          <w:szCs w:val="22"/>
        </w:rPr>
        <w:t>., 2008). The C=C stretching vibration of alkynes group was indicated by the absorbance peak between 2200 – 1950 cm</w:t>
      </w:r>
      <w:r w:rsidRPr="005833C6">
        <w:rPr>
          <w:sz w:val="22"/>
          <w:szCs w:val="22"/>
          <w:vertAlign w:val="superscript"/>
        </w:rPr>
        <w:t>-1</w:t>
      </w:r>
      <w:r w:rsidRPr="00E551AA">
        <w:rPr>
          <w:sz w:val="22"/>
          <w:szCs w:val="22"/>
        </w:rPr>
        <w:t>, indicating the presence of ketones (Guo and Lua, 2002). The strong broad absorbance peak between 1780 – 1640 cm</w:t>
      </w:r>
      <w:r w:rsidRPr="005833C6">
        <w:rPr>
          <w:sz w:val="22"/>
          <w:szCs w:val="22"/>
          <w:vertAlign w:val="superscript"/>
        </w:rPr>
        <w:t>-1</w:t>
      </w:r>
      <w:r w:rsidRPr="00E551AA">
        <w:rPr>
          <w:sz w:val="22"/>
          <w:szCs w:val="22"/>
        </w:rPr>
        <w:t xml:space="preserve"> represented the C=O stretching vibration which indicated the presence of quinones (Guo and Lua, 2002). The very strong absorbance peaks at 1525.69 cm</w:t>
      </w:r>
      <w:r w:rsidRPr="005833C6">
        <w:rPr>
          <w:sz w:val="22"/>
          <w:szCs w:val="22"/>
          <w:vertAlign w:val="superscript"/>
        </w:rPr>
        <w:t>-1</w:t>
      </w:r>
      <w:r w:rsidRPr="00E551AA">
        <w:rPr>
          <w:sz w:val="22"/>
          <w:szCs w:val="22"/>
        </w:rPr>
        <w:t xml:space="preserve"> and 1024.20 cm</w:t>
      </w:r>
      <w:r w:rsidRPr="005833C6">
        <w:rPr>
          <w:sz w:val="22"/>
          <w:szCs w:val="22"/>
          <w:vertAlign w:val="superscript"/>
        </w:rPr>
        <w:t>-1</w:t>
      </w:r>
      <w:r w:rsidRPr="00E551AA">
        <w:rPr>
          <w:sz w:val="22"/>
          <w:szCs w:val="22"/>
        </w:rPr>
        <w:t xml:space="preserve"> were attributed to C=C stretching vibration of aromatic rings and O-H deformation vibration, respectively (Guo and Lua, 2002). The absorbance peak at 1247.94 cm</w:t>
      </w:r>
      <w:r w:rsidRPr="005833C6">
        <w:rPr>
          <w:sz w:val="22"/>
          <w:szCs w:val="22"/>
          <w:vertAlign w:val="superscript"/>
        </w:rPr>
        <w:t>-1</w:t>
      </w:r>
      <w:r w:rsidRPr="00E551AA">
        <w:rPr>
          <w:sz w:val="22"/>
          <w:szCs w:val="22"/>
        </w:rPr>
        <w:t xml:space="preserve"> represented the stretching vibration of C–O functional group, indicating the presence of carboxylic acids (Guo and Lua, 1998; Yacob </w:t>
      </w:r>
      <w:r w:rsidR="00B902EC" w:rsidRPr="00B902EC">
        <w:rPr>
          <w:i/>
          <w:sz w:val="22"/>
          <w:szCs w:val="22"/>
        </w:rPr>
        <w:t>et al</w:t>
      </w:r>
      <w:r w:rsidRPr="00E551AA">
        <w:rPr>
          <w:sz w:val="22"/>
          <w:szCs w:val="22"/>
        </w:rPr>
        <w:t>., 2008). Although the adsorbent was prepared through chemical treatment, it exhibited similarity in the FTIR spectrum with that of raw oil palm shell. This indicated that the chemical treatment with H</w:t>
      </w:r>
      <w:r w:rsidRPr="005833C6">
        <w:rPr>
          <w:sz w:val="22"/>
          <w:szCs w:val="22"/>
          <w:vertAlign w:val="subscript"/>
        </w:rPr>
        <w:t>2</w:t>
      </w:r>
      <w:r w:rsidRPr="00E551AA">
        <w:rPr>
          <w:sz w:val="22"/>
          <w:szCs w:val="22"/>
        </w:rPr>
        <w:t>SO</w:t>
      </w:r>
      <w:r w:rsidRPr="005833C6">
        <w:rPr>
          <w:sz w:val="22"/>
          <w:szCs w:val="22"/>
          <w:vertAlign w:val="subscript"/>
        </w:rPr>
        <w:t>4</w:t>
      </w:r>
      <w:r w:rsidRPr="00E551AA">
        <w:rPr>
          <w:sz w:val="22"/>
          <w:szCs w:val="22"/>
        </w:rPr>
        <w:t xml:space="preserve"> increased the porosity of adsorbent without changing the surface chemistry. However, the absorbance peaks at 1247.94 cm</w:t>
      </w:r>
      <w:r w:rsidRPr="005833C6">
        <w:rPr>
          <w:sz w:val="22"/>
          <w:szCs w:val="22"/>
          <w:vertAlign w:val="superscript"/>
        </w:rPr>
        <w:t>-1</w:t>
      </w:r>
      <w:r w:rsidRPr="00E551AA">
        <w:rPr>
          <w:sz w:val="22"/>
          <w:szCs w:val="22"/>
        </w:rPr>
        <w:t xml:space="preserve"> and 1024.20 cm</w:t>
      </w:r>
      <w:r w:rsidRPr="005833C6">
        <w:rPr>
          <w:sz w:val="22"/>
          <w:szCs w:val="22"/>
          <w:vertAlign w:val="superscript"/>
        </w:rPr>
        <w:t>-1</w:t>
      </w:r>
      <w:r w:rsidRPr="00E551AA">
        <w:rPr>
          <w:sz w:val="22"/>
          <w:szCs w:val="22"/>
        </w:rPr>
        <w:t xml:space="preserve"> which were assigned to C-O carboxylic acid had been eliminated due to that the sample was washed thoroughly with hot double distilled water to remove any remaining H</w:t>
      </w:r>
      <w:r w:rsidRPr="005833C6">
        <w:rPr>
          <w:sz w:val="22"/>
          <w:szCs w:val="22"/>
          <w:vertAlign w:val="subscript"/>
        </w:rPr>
        <w:t>2</w:t>
      </w:r>
      <w:r w:rsidRPr="00E551AA">
        <w:rPr>
          <w:sz w:val="22"/>
          <w:szCs w:val="22"/>
        </w:rPr>
        <w:t>SO</w:t>
      </w:r>
      <w:r w:rsidRPr="005833C6">
        <w:rPr>
          <w:sz w:val="22"/>
          <w:szCs w:val="22"/>
          <w:vertAlign w:val="subscript"/>
        </w:rPr>
        <w:t>4</w:t>
      </w:r>
      <w:r w:rsidRPr="00E551AA">
        <w:rPr>
          <w:sz w:val="22"/>
          <w:szCs w:val="22"/>
        </w:rPr>
        <w:t>. Lower intensity observed at the absorbance peaks between 2200 – 1950 cm</w:t>
      </w:r>
      <w:r w:rsidRPr="005833C6">
        <w:rPr>
          <w:sz w:val="22"/>
          <w:szCs w:val="22"/>
          <w:vertAlign w:val="superscript"/>
        </w:rPr>
        <w:t>-1</w:t>
      </w:r>
      <w:r w:rsidRPr="00E551AA">
        <w:rPr>
          <w:sz w:val="22"/>
          <w:szCs w:val="22"/>
        </w:rPr>
        <w:t xml:space="preserve"> could be attributed to the reaction between the sulfuric acid and the oil palm shell. Moreover, the FTIR spectrum of activated carbon also exhibited similar trend as the oil palm shell-based adsorbent. </w:t>
      </w:r>
    </w:p>
    <w:p w:rsidR="00E551AA" w:rsidRPr="00E551AA" w:rsidRDefault="00E551AA" w:rsidP="00256E05">
      <w:pPr>
        <w:autoSpaceDE w:val="0"/>
        <w:autoSpaceDN w:val="0"/>
        <w:adjustRightInd w:val="0"/>
        <w:jc w:val="both"/>
        <w:rPr>
          <w:sz w:val="22"/>
          <w:szCs w:val="22"/>
        </w:rPr>
      </w:pPr>
    </w:p>
    <w:p w:rsidR="00E551AA" w:rsidRDefault="00E551AA" w:rsidP="00256E05">
      <w:pPr>
        <w:autoSpaceDE w:val="0"/>
        <w:autoSpaceDN w:val="0"/>
        <w:adjustRightInd w:val="0"/>
        <w:jc w:val="both"/>
        <w:rPr>
          <w:i/>
          <w:sz w:val="22"/>
          <w:szCs w:val="22"/>
        </w:rPr>
      </w:pPr>
      <w:r w:rsidRPr="00F73D50">
        <w:rPr>
          <w:i/>
          <w:sz w:val="22"/>
          <w:szCs w:val="22"/>
        </w:rPr>
        <w:t xml:space="preserve">3.2   </w:t>
      </w:r>
      <w:r w:rsidR="00256E05">
        <w:rPr>
          <w:i/>
          <w:sz w:val="22"/>
          <w:szCs w:val="22"/>
        </w:rPr>
        <w:tab/>
      </w:r>
      <w:r w:rsidRPr="00F73D50">
        <w:rPr>
          <w:i/>
          <w:sz w:val="22"/>
          <w:szCs w:val="22"/>
        </w:rPr>
        <w:t>Effect of Contact Time and Initial Atrazine Concentration</w:t>
      </w:r>
    </w:p>
    <w:p w:rsidR="00F73D50" w:rsidRPr="00F73D50" w:rsidRDefault="00F73D50" w:rsidP="00256E05">
      <w:pPr>
        <w:autoSpaceDE w:val="0"/>
        <w:autoSpaceDN w:val="0"/>
        <w:adjustRightInd w:val="0"/>
        <w:jc w:val="both"/>
        <w:rPr>
          <w:i/>
          <w:sz w:val="22"/>
          <w:szCs w:val="22"/>
        </w:rPr>
      </w:pPr>
    </w:p>
    <w:p w:rsidR="00E551AA" w:rsidRPr="00E551AA" w:rsidRDefault="00E551AA" w:rsidP="00256E05">
      <w:pPr>
        <w:autoSpaceDE w:val="0"/>
        <w:autoSpaceDN w:val="0"/>
        <w:adjustRightInd w:val="0"/>
        <w:jc w:val="both"/>
        <w:rPr>
          <w:sz w:val="22"/>
          <w:szCs w:val="22"/>
        </w:rPr>
      </w:pPr>
      <w:r w:rsidRPr="00E551AA">
        <w:rPr>
          <w:sz w:val="22"/>
          <w:szCs w:val="22"/>
        </w:rPr>
        <w:t xml:space="preserve">The effect of contact time and initial atrazine concentration on adsorption of atrazine on oil palm shell-based adsorbent and activated carbon are shown in Figures 2 and 3, respectively. Batch adsorption experiments were carried out for 24 h to attain equilibrium. Figure 2 shows that the contact time necessary for adsorption of atrazine on oil palm shell-based adsorbent to reach equilibrium ranged between 150 to 240 min. However, for adsorption of atrazine on activated carbon, longer contact time of 24 h was required to achieve adsorption equilibrium, as shown in Figure 3. It could be seen that the adsorption rate at different concentrations was rapid in the first 15 min and steadily decreased with time until it gradually approached a plateau. The initial rapid uptake could be attributed to the availability of the number of free adsorption sites on the adsorbent and the higher concentration gradient created at the beginning of the adsorption process (Alam </w:t>
      </w:r>
      <w:r w:rsidR="00B902EC" w:rsidRPr="00B902EC">
        <w:rPr>
          <w:i/>
          <w:sz w:val="22"/>
          <w:szCs w:val="22"/>
        </w:rPr>
        <w:t>et al</w:t>
      </w:r>
      <w:r w:rsidRPr="00E551AA">
        <w:rPr>
          <w:sz w:val="22"/>
          <w:szCs w:val="22"/>
        </w:rPr>
        <w:t xml:space="preserve">., 2004). As the atrazine loading on the adsorbent increased, the concentration gradient reduced and gave way to a much slower uptake. Furthermore, the atrazine uptake, qt increased with increasing in initial atrazine concentration. The amount of atrazine uptake at equilibrium, qe increased from 0.168 to 3.378 mg/g for oil palm shell-based adsorbent and from 5.392 to 30.734 mg/g for activated carbon, with the increase in the initial atrazine concentrations from 5 to 30 mg/L. The initial concentration provided an important driving force to overcome all mass transfer resistances of the atrazine between the aqueous and solid phases. Hence, a higher initial concentration of atrazine would enhance the adsorption process. Furthermore, the adsorption of atrazine could be described by three consecutive mass transport steps (Alam </w:t>
      </w:r>
      <w:r w:rsidR="00B902EC" w:rsidRPr="00B902EC">
        <w:rPr>
          <w:i/>
          <w:sz w:val="22"/>
          <w:szCs w:val="22"/>
        </w:rPr>
        <w:t>et al</w:t>
      </w:r>
      <w:r w:rsidRPr="00E551AA">
        <w:rPr>
          <w:sz w:val="22"/>
          <w:szCs w:val="22"/>
        </w:rPr>
        <w:t xml:space="preserve">., 2007). Firstly, the adsorbate transferred through the solution </w:t>
      </w:r>
      <w:r w:rsidRPr="00E551AA">
        <w:rPr>
          <w:sz w:val="22"/>
          <w:szCs w:val="22"/>
        </w:rPr>
        <w:lastRenderedPageBreak/>
        <w:t>to the adsorbent exterior surface, followed by adsorbate diffusion into the pores of adsorbent. Finally, the adsorbate was adsorbed into the active sites at the interior of the adsorbent particle. Thus, activated carbon showed a much better adsorption performance than oil palm shell-based adsorbent, which could be attributed to the higher porosity in activated carbon.</w:t>
      </w:r>
    </w:p>
    <w:p w:rsidR="00E551AA" w:rsidRPr="00E551AA" w:rsidRDefault="00E551AA" w:rsidP="00256E05">
      <w:pPr>
        <w:autoSpaceDE w:val="0"/>
        <w:autoSpaceDN w:val="0"/>
        <w:adjustRightInd w:val="0"/>
        <w:jc w:val="both"/>
        <w:rPr>
          <w:sz w:val="22"/>
          <w:szCs w:val="22"/>
        </w:rPr>
      </w:pPr>
    </w:p>
    <w:p w:rsidR="00E551AA" w:rsidRPr="00F73D50" w:rsidRDefault="00E551AA" w:rsidP="00256E05">
      <w:pPr>
        <w:autoSpaceDE w:val="0"/>
        <w:autoSpaceDN w:val="0"/>
        <w:adjustRightInd w:val="0"/>
        <w:jc w:val="both"/>
        <w:rPr>
          <w:i/>
          <w:sz w:val="22"/>
          <w:szCs w:val="22"/>
        </w:rPr>
      </w:pPr>
      <w:r w:rsidRPr="00F73D50">
        <w:rPr>
          <w:i/>
          <w:sz w:val="22"/>
          <w:szCs w:val="22"/>
        </w:rPr>
        <w:t xml:space="preserve">3.3   </w:t>
      </w:r>
      <w:r w:rsidR="00256E05">
        <w:rPr>
          <w:i/>
          <w:sz w:val="22"/>
          <w:szCs w:val="22"/>
        </w:rPr>
        <w:tab/>
      </w:r>
      <w:r w:rsidRPr="00F73D50">
        <w:rPr>
          <w:i/>
          <w:sz w:val="22"/>
          <w:szCs w:val="22"/>
        </w:rPr>
        <w:t>Effect of Adsorbent Dosage</w:t>
      </w:r>
    </w:p>
    <w:p w:rsidR="00F73D50" w:rsidRPr="00E551AA" w:rsidRDefault="00F73D50" w:rsidP="00256E05">
      <w:pPr>
        <w:autoSpaceDE w:val="0"/>
        <w:autoSpaceDN w:val="0"/>
        <w:adjustRightInd w:val="0"/>
        <w:jc w:val="both"/>
        <w:rPr>
          <w:sz w:val="22"/>
          <w:szCs w:val="22"/>
        </w:rPr>
      </w:pPr>
    </w:p>
    <w:p w:rsidR="00E551AA" w:rsidRDefault="00E551AA" w:rsidP="00256E05">
      <w:pPr>
        <w:autoSpaceDE w:val="0"/>
        <w:autoSpaceDN w:val="0"/>
        <w:adjustRightInd w:val="0"/>
        <w:jc w:val="both"/>
        <w:rPr>
          <w:sz w:val="22"/>
          <w:szCs w:val="22"/>
        </w:rPr>
      </w:pPr>
      <w:r w:rsidRPr="00E551AA">
        <w:rPr>
          <w:sz w:val="22"/>
          <w:szCs w:val="22"/>
        </w:rPr>
        <w:t xml:space="preserve">Figure 4 shows the removal percentage of atrazine as a function of adsorbent dosage. The removal percentage of atrazine increased from 9.35 to 14.34 % with increasing adsorbent dosage from 0.2 to 2.0 g. This was due to the increase in the number of adsorption sites (Selvaraj </w:t>
      </w:r>
      <w:r w:rsidR="00B902EC" w:rsidRPr="00B902EC">
        <w:rPr>
          <w:i/>
          <w:sz w:val="22"/>
          <w:szCs w:val="22"/>
        </w:rPr>
        <w:t>et al</w:t>
      </w:r>
      <w:r w:rsidRPr="00E551AA">
        <w:rPr>
          <w:sz w:val="22"/>
          <w:szCs w:val="22"/>
        </w:rPr>
        <w:t xml:space="preserve">., 1997; Sharma and Forster, 1993). Gupta </w:t>
      </w:r>
      <w:r w:rsidR="00B902EC" w:rsidRPr="00B902EC">
        <w:rPr>
          <w:i/>
          <w:sz w:val="22"/>
          <w:szCs w:val="22"/>
        </w:rPr>
        <w:t>et al</w:t>
      </w:r>
      <w:r w:rsidRPr="00E551AA">
        <w:rPr>
          <w:sz w:val="22"/>
          <w:szCs w:val="22"/>
        </w:rPr>
        <w:t xml:space="preserve">. (2011) reported similar trend in the study of pesticides (methoxychlor, atrazine and methyl parathion) removal from waste water on activated carbon prepared from waster rubber tire. It was reported that the increase in adsorbent dosage from 0.2 to 1.6 g resulted in a significant increase in removal percentage of atrazine probably due to a stronger driving force and larger surface area (Gupta </w:t>
      </w:r>
      <w:r w:rsidR="00B902EC" w:rsidRPr="00B902EC">
        <w:rPr>
          <w:i/>
          <w:sz w:val="22"/>
          <w:szCs w:val="22"/>
        </w:rPr>
        <w:t>et al</w:t>
      </w:r>
      <w:r w:rsidRPr="00E551AA">
        <w:rPr>
          <w:sz w:val="22"/>
          <w:szCs w:val="22"/>
        </w:rPr>
        <w:t xml:space="preserve">., 2011). Any further increment of the adsorbent did not pose any noticeable change in the removal percentage, which might be due to overlapping of adsorption sites as a result of overcrowding of adsorbent particles (Namasivayam </w:t>
      </w:r>
      <w:r w:rsidR="00B902EC" w:rsidRPr="00B902EC">
        <w:rPr>
          <w:i/>
          <w:sz w:val="22"/>
          <w:szCs w:val="22"/>
        </w:rPr>
        <w:t>et al</w:t>
      </w:r>
      <w:r w:rsidRPr="00E551AA">
        <w:rPr>
          <w:sz w:val="22"/>
          <w:szCs w:val="22"/>
        </w:rPr>
        <w:t>., 1998).</w:t>
      </w:r>
    </w:p>
    <w:p w:rsidR="0089560B" w:rsidRDefault="0089560B" w:rsidP="00256E05">
      <w:pPr>
        <w:autoSpaceDE w:val="0"/>
        <w:autoSpaceDN w:val="0"/>
        <w:adjustRightInd w:val="0"/>
        <w:jc w:val="both"/>
        <w:rPr>
          <w:sz w:val="22"/>
          <w:szCs w:val="22"/>
        </w:rPr>
      </w:pPr>
    </w:p>
    <w:tbl>
      <w:tblPr>
        <w:tblW w:w="7938" w:type="dxa"/>
        <w:tblLayout w:type="fixed"/>
        <w:tblLook w:val="00A0" w:firstRow="1" w:lastRow="0" w:firstColumn="1" w:lastColumn="0" w:noHBand="0" w:noVBand="0"/>
      </w:tblPr>
      <w:tblGrid>
        <w:gridCol w:w="3978"/>
        <w:gridCol w:w="3960"/>
      </w:tblGrid>
      <w:tr w:rsidR="0089560B" w:rsidRPr="00256E05" w:rsidTr="009E7F6D">
        <w:trPr>
          <w:trHeight w:val="3500"/>
        </w:trPr>
        <w:tc>
          <w:tcPr>
            <w:tcW w:w="3978" w:type="dxa"/>
          </w:tcPr>
          <w:p w:rsidR="0089560B" w:rsidRPr="00256E05" w:rsidRDefault="0089560B" w:rsidP="00256E05">
            <w:pPr>
              <w:jc w:val="both"/>
              <w:rPr>
                <w:sz w:val="20"/>
                <w:szCs w:val="20"/>
                <w:lang w:val="en-MY"/>
              </w:rPr>
            </w:pPr>
            <w:r w:rsidRPr="00256E05">
              <w:rPr>
                <w:noProof/>
                <w:sz w:val="20"/>
                <w:szCs w:val="20"/>
                <w:lang w:val="en-US" w:eastAsia="ja-JP"/>
              </w:rPr>
              <w:drawing>
                <wp:inline distT="0" distB="0" distL="0" distR="0" wp14:anchorId="1C07AB98" wp14:editId="6D4EA023">
                  <wp:extent cx="2398413" cy="1495425"/>
                  <wp:effectExtent l="19050" t="0" r="18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398114" cy="1495239"/>
                          </a:xfrm>
                          <a:prstGeom prst="rect">
                            <a:avLst/>
                          </a:prstGeom>
                        </pic:spPr>
                      </pic:pic>
                    </a:graphicData>
                  </a:graphic>
                </wp:inline>
              </w:drawing>
            </w:r>
          </w:p>
          <w:p w:rsidR="0089560B" w:rsidRPr="00256E05" w:rsidRDefault="0089560B" w:rsidP="00256E05">
            <w:pPr>
              <w:ind w:left="567" w:hanging="567"/>
              <w:jc w:val="both"/>
              <w:rPr>
                <w:sz w:val="20"/>
                <w:szCs w:val="20"/>
                <w:lang w:val="en-MY"/>
              </w:rPr>
            </w:pPr>
          </w:p>
          <w:p w:rsidR="0089560B" w:rsidRPr="00256E05" w:rsidRDefault="0089560B" w:rsidP="00256E05">
            <w:pPr>
              <w:jc w:val="center"/>
              <w:rPr>
                <w:sz w:val="20"/>
                <w:szCs w:val="20"/>
                <w:lang w:val="en-MY"/>
              </w:rPr>
            </w:pPr>
            <w:r w:rsidRPr="00256E05">
              <w:rPr>
                <w:sz w:val="20"/>
                <w:szCs w:val="20"/>
                <w:lang w:val="en-MY"/>
              </w:rPr>
              <w:t>Figure 2: Time variation of adsorption of atrazine on oil palm shell-based adsorbent at</w:t>
            </w:r>
            <w:r w:rsidR="009E7F6D" w:rsidRPr="00256E05">
              <w:rPr>
                <w:sz w:val="20"/>
                <w:szCs w:val="20"/>
                <w:lang w:val="en-MY"/>
              </w:rPr>
              <w:t xml:space="preserve"> various initial concentrations</w:t>
            </w:r>
          </w:p>
          <w:p w:rsidR="0089560B" w:rsidRPr="00256E05" w:rsidRDefault="0089560B" w:rsidP="00256E05">
            <w:pPr>
              <w:ind w:left="567" w:hanging="567"/>
              <w:jc w:val="both"/>
              <w:rPr>
                <w:sz w:val="20"/>
                <w:szCs w:val="20"/>
                <w:lang w:val="en-MY"/>
              </w:rPr>
            </w:pPr>
          </w:p>
        </w:tc>
        <w:tc>
          <w:tcPr>
            <w:tcW w:w="3960" w:type="dxa"/>
          </w:tcPr>
          <w:p w:rsidR="0089560B" w:rsidRPr="00256E05" w:rsidRDefault="00144ACB" w:rsidP="00256E05">
            <w:pPr>
              <w:jc w:val="both"/>
              <w:rPr>
                <w:sz w:val="20"/>
                <w:szCs w:val="20"/>
                <w:lang w:val="en-MY"/>
              </w:rPr>
            </w:pPr>
            <w:r w:rsidRPr="00256E05">
              <w:rPr>
                <w:noProof/>
                <w:sz w:val="20"/>
                <w:szCs w:val="20"/>
                <w:lang w:val="en-US" w:eastAsia="ja-JP"/>
              </w:rPr>
              <w:drawing>
                <wp:inline distT="0" distB="0" distL="0" distR="0" wp14:anchorId="7C624836" wp14:editId="6179363A">
                  <wp:extent cx="2393633" cy="1495425"/>
                  <wp:effectExtent l="19050" t="0" r="6667"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96385" cy="1497145"/>
                          </a:xfrm>
                          <a:prstGeom prst="rect">
                            <a:avLst/>
                          </a:prstGeom>
                        </pic:spPr>
                      </pic:pic>
                    </a:graphicData>
                  </a:graphic>
                </wp:inline>
              </w:drawing>
            </w:r>
          </w:p>
          <w:p w:rsidR="0089560B" w:rsidRPr="00256E05" w:rsidRDefault="0089560B" w:rsidP="00256E05">
            <w:pPr>
              <w:ind w:left="126" w:hanging="726"/>
              <w:jc w:val="both"/>
              <w:rPr>
                <w:sz w:val="20"/>
                <w:szCs w:val="20"/>
                <w:lang w:val="en-MY"/>
              </w:rPr>
            </w:pPr>
            <w:r w:rsidRPr="00256E05">
              <w:rPr>
                <w:sz w:val="20"/>
                <w:szCs w:val="20"/>
                <w:lang w:val="en-MY"/>
              </w:rPr>
              <w:t xml:space="preserve">   </w:t>
            </w:r>
          </w:p>
          <w:p w:rsidR="0089560B" w:rsidRPr="00256E05" w:rsidRDefault="0089560B" w:rsidP="00256E05">
            <w:pPr>
              <w:jc w:val="center"/>
              <w:rPr>
                <w:sz w:val="20"/>
                <w:szCs w:val="20"/>
                <w:lang w:val="en-MY"/>
              </w:rPr>
            </w:pPr>
            <w:r w:rsidRPr="00256E05">
              <w:rPr>
                <w:sz w:val="20"/>
                <w:szCs w:val="20"/>
                <w:lang w:val="en-MY"/>
              </w:rPr>
              <w:t>Figure 3: Time variation of adsorption of atrazine on activated carbon at various initial concentrations</w:t>
            </w:r>
          </w:p>
        </w:tc>
      </w:tr>
      <w:tr w:rsidR="0089560B" w:rsidRPr="00256E05" w:rsidTr="009E7F6D">
        <w:trPr>
          <w:trHeight w:val="3500"/>
        </w:trPr>
        <w:tc>
          <w:tcPr>
            <w:tcW w:w="3978" w:type="dxa"/>
          </w:tcPr>
          <w:p w:rsidR="0089560B" w:rsidRPr="00256E05" w:rsidRDefault="00144ACB" w:rsidP="00256E05">
            <w:pPr>
              <w:jc w:val="both"/>
              <w:rPr>
                <w:sz w:val="20"/>
                <w:szCs w:val="20"/>
                <w:lang w:val="en-MY"/>
              </w:rPr>
            </w:pPr>
            <w:r w:rsidRPr="00256E05">
              <w:rPr>
                <w:noProof/>
                <w:sz w:val="20"/>
                <w:szCs w:val="20"/>
                <w:lang w:val="en-US" w:eastAsia="ja-JP"/>
              </w:rPr>
              <w:lastRenderedPageBreak/>
              <w:drawing>
                <wp:inline distT="0" distB="0" distL="0" distR="0" wp14:anchorId="02223D98" wp14:editId="76A1A09F">
                  <wp:extent cx="2386013" cy="15621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90351" cy="1564940"/>
                          </a:xfrm>
                          <a:prstGeom prst="rect">
                            <a:avLst/>
                          </a:prstGeom>
                        </pic:spPr>
                      </pic:pic>
                    </a:graphicData>
                  </a:graphic>
                </wp:inline>
              </w:drawing>
            </w:r>
          </w:p>
          <w:p w:rsidR="0089560B" w:rsidRPr="00256E05" w:rsidRDefault="0089560B" w:rsidP="00256E05">
            <w:pPr>
              <w:adjustRightInd w:val="0"/>
              <w:ind w:left="426" w:hanging="426"/>
              <w:jc w:val="both"/>
              <w:rPr>
                <w:sz w:val="20"/>
                <w:szCs w:val="20"/>
                <w:lang w:val="en-MY"/>
              </w:rPr>
            </w:pPr>
          </w:p>
          <w:p w:rsidR="0089560B" w:rsidRPr="00256E05" w:rsidRDefault="0089560B" w:rsidP="00256E05">
            <w:pPr>
              <w:adjustRightInd w:val="0"/>
              <w:jc w:val="center"/>
              <w:rPr>
                <w:sz w:val="20"/>
                <w:szCs w:val="20"/>
                <w:lang w:val="en-MY"/>
              </w:rPr>
            </w:pPr>
            <w:r w:rsidRPr="00256E05">
              <w:rPr>
                <w:sz w:val="20"/>
                <w:szCs w:val="20"/>
                <w:lang w:val="en-MY"/>
              </w:rPr>
              <w:t>Figure 4: Removal percentage of atrazine on oil palm shell-based adsorbent at different adsorbent dosage</w:t>
            </w:r>
          </w:p>
        </w:tc>
        <w:tc>
          <w:tcPr>
            <w:tcW w:w="3960" w:type="dxa"/>
          </w:tcPr>
          <w:p w:rsidR="0089560B" w:rsidRPr="00256E05" w:rsidRDefault="00144ACB" w:rsidP="00256E05">
            <w:pPr>
              <w:jc w:val="both"/>
              <w:rPr>
                <w:sz w:val="20"/>
                <w:szCs w:val="20"/>
                <w:lang w:val="en-MY"/>
              </w:rPr>
            </w:pPr>
            <w:r w:rsidRPr="00256E05">
              <w:rPr>
                <w:noProof/>
                <w:sz w:val="20"/>
                <w:szCs w:val="20"/>
                <w:lang w:val="en-US" w:eastAsia="ja-JP"/>
              </w:rPr>
              <w:drawing>
                <wp:inline distT="0" distB="0" distL="0" distR="0" wp14:anchorId="319BDAA4" wp14:editId="431F9F1E">
                  <wp:extent cx="2362200" cy="15512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368583" cy="1555417"/>
                          </a:xfrm>
                          <a:prstGeom prst="rect">
                            <a:avLst/>
                          </a:prstGeom>
                        </pic:spPr>
                      </pic:pic>
                    </a:graphicData>
                  </a:graphic>
                </wp:inline>
              </w:drawing>
            </w:r>
          </w:p>
          <w:p w:rsidR="0089560B" w:rsidRPr="00256E05" w:rsidRDefault="0089560B" w:rsidP="00256E05">
            <w:pPr>
              <w:ind w:left="599" w:hanging="599"/>
              <w:jc w:val="both"/>
              <w:rPr>
                <w:sz w:val="20"/>
                <w:szCs w:val="20"/>
                <w:lang w:val="en-MY"/>
              </w:rPr>
            </w:pPr>
            <w:r w:rsidRPr="00256E05">
              <w:rPr>
                <w:sz w:val="20"/>
                <w:szCs w:val="20"/>
                <w:lang w:val="en-MY"/>
              </w:rPr>
              <w:t xml:space="preserve">   </w:t>
            </w:r>
          </w:p>
          <w:p w:rsidR="0089560B" w:rsidRPr="00256E05" w:rsidRDefault="0089560B" w:rsidP="00256E05">
            <w:pPr>
              <w:jc w:val="center"/>
              <w:rPr>
                <w:sz w:val="20"/>
                <w:szCs w:val="20"/>
                <w:lang w:val="en-MY"/>
              </w:rPr>
            </w:pPr>
            <w:r w:rsidRPr="00256E05">
              <w:rPr>
                <w:sz w:val="20"/>
                <w:szCs w:val="20"/>
                <w:lang w:val="en-MY"/>
              </w:rPr>
              <w:t>Figure 5: Removal percentage of atrazine on oil palm shell-based adsorbent at different solution pH</w:t>
            </w:r>
          </w:p>
        </w:tc>
      </w:tr>
    </w:tbl>
    <w:p w:rsidR="009E7F6D" w:rsidRDefault="009E7F6D" w:rsidP="00256E05">
      <w:pPr>
        <w:autoSpaceDE w:val="0"/>
        <w:autoSpaceDN w:val="0"/>
        <w:adjustRightInd w:val="0"/>
        <w:jc w:val="both"/>
        <w:rPr>
          <w:i/>
          <w:sz w:val="22"/>
          <w:szCs w:val="22"/>
        </w:rPr>
      </w:pPr>
    </w:p>
    <w:p w:rsidR="00256E05" w:rsidRDefault="00256E05" w:rsidP="00256E05">
      <w:pPr>
        <w:autoSpaceDE w:val="0"/>
        <w:autoSpaceDN w:val="0"/>
        <w:adjustRightInd w:val="0"/>
        <w:jc w:val="both"/>
        <w:rPr>
          <w:i/>
          <w:sz w:val="22"/>
          <w:szCs w:val="22"/>
        </w:rPr>
      </w:pPr>
    </w:p>
    <w:p w:rsidR="00E551AA" w:rsidRDefault="00E551AA" w:rsidP="00256E05">
      <w:pPr>
        <w:autoSpaceDE w:val="0"/>
        <w:autoSpaceDN w:val="0"/>
        <w:adjustRightInd w:val="0"/>
        <w:jc w:val="both"/>
        <w:rPr>
          <w:i/>
          <w:sz w:val="22"/>
          <w:szCs w:val="22"/>
        </w:rPr>
      </w:pPr>
      <w:r w:rsidRPr="00454154">
        <w:rPr>
          <w:i/>
          <w:sz w:val="22"/>
          <w:szCs w:val="22"/>
        </w:rPr>
        <w:t xml:space="preserve">3.4   </w:t>
      </w:r>
      <w:r w:rsidR="00256E05">
        <w:rPr>
          <w:i/>
          <w:sz w:val="22"/>
          <w:szCs w:val="22"/>
        </w:rPr>
        <w:tab/>
      </w:r>
      <w:r w:rsidRPr="00454154">
        <w:rPr>
          <w:i/>
          <w:sz w:val="22"/>
          <w:szCs w:val="22"/>
        </w:rPr>
        <w:t>Effect of Solution pH</w:t>
      </w:r>
    </w:p>
    <w:p w:rsidR="00F73D50" w:rsidRPr="00454154" w:rsidRDefault="00F73D50" w:rsidP="00256E05">
      <w:pPr>
        <w:autoSpaceDE w:val="0"/>
        <w:autoSpaceDN w:val="0"/>
        <w:adjustRightInd w:val="0"/>
        <w:jc w:val="both"/>
        <w:rPr>
          <w:i/>
          <w:sz w:val="22"/>
          <w:szCs w:val="22"/>
        </w:rPr>
      </w:pPr>
    </w:p>
    <w:p w:rsidR="00E551AA" w:rsidRDefault="00E551AA" w:rsidP="00256E05">
      <w:pPr>
        <w:tabs>
          <w:tab w:val="left" w:pos="426"/>
        </w:tabs>
        <w:autoSpaceDE w:val="0"/>
        <w:autoSpaceDN w:val="0"/>
        <w:adjustRightInd w:val="0"/>
        <w:jc w:val="both"/>
        <w:rPr>
          <w:sz w:val="22"/>
          <w:szCs w:val="22"/>
        </w:rPr>
      </w:pPr>
      <w:r w:rsidRPr="00E551AA">
        <w:rPr>
          <w:sz w:val="22"/>
          <w:szCs w:val="22"/>
        </w:rPr>
        <w:t xml:space="preserve">Figure 5 shows the effect of solution pH on the removal percentage of atrazine on the oil palm shell-based adsorbent. The removal percentage of atrazine decreased from 12.79 to 1.41 % with an increase in the solution pH from 2 to 12. Similar trends had been reported for the adsorption of atrazine (Rafique and Nasreen, 2011), prometryn (Topp </w:t>
      </w:r>
      <w:r w:rsidR="00B902EC" w:rsidRPr="00B902EC">
        <w:rPr>
          <w:i/>
          <w:sz w:val="22"/>
          <w:szCs w:val="22"/>
        </w:rPr>
        <w:t>et al</w:t>
      </w:r>
      <w:r w:rsidRPr="00E551AA">
        <w:rPr>
          <w:sz w:val="22"/>
          <w:szCs w:val="22"/>
        </w:rPr>
        <w:t xml:space="preserve">., 1997), imazaqun and imazethapyr (Barriuso </w:t>
      </w:r>
      <w:r w:rsidR="00B902EC" w:rsidRPr="00B902EC">
        <w:rPr>
          <w:i/>
          <w:sz w:val="22"/>
          <w:szCs w:val="22"/>
        </w:rPr>
        <w:t>et al</w:t>
      </w:r>
      <w:r w:rsidRPr="00E551AA">
        <w:rPr>
          <w:sz w:val="22"/>
          <w:szCs w:val="22"/>
        </w:rPr>
        <w:t xml:space="preserve">., 1992). As the solution pH increased, the functional groups especially carbonyl and hydroxyl groups became deprotonated, thus leading to development of negative charge at the surface of adsorbent (Gupta </w:t>
      </w:r>
      <w:r w:rsidR="00B902EC" w:rsidRPr="00B902EC">
        <w:rPr>
          <w:i/>
          <w:sz w:val="22"/>
          <w:szCs w:val="22"/>
        </w:rPr>
        <w:t>et al</w:t>
      </w:r>
      <w:r w:rsidRPr="00E551AA">
        <w:rPr>
          <w:sz w:val="22"/>
          <w:szCs w:val="22"/>
        </w:rPr>
        <w:t>., 2011). At higher pH, a more negatively charged surface of the adsorbent posed stronger electrostatic repulsion for atrazine molecules and thereby decreased the adsorption of atrazine. However, with a decrease in solution pH, the adsorption of atrazine on oil palm shell-based adsorbent increased due to weaker electrostatic repulsion as a result of the reduction in degree of deprotonation (Gupta and Imran, 2008). Besides, atrazine is a weak basic herbicide with pK</w:t>
      </w:r>
      <w:r w:rsidRPr="00BF7FF7">
        <w:rPr>
          <w:sz w:val="22"/>
          <w:szCs w:val="22"/>
          <w:vertAlign w:val="subscript"/>
        </w:rPr>
        <w:t>a</w:t>
      </w:r>
      <w:r w:rsidRPr="00E551AA">
        <w:rPr>
          <w:sz w:val="22"/>
          <w:szCs w:val="22"/>
        </w:rPr>
        <w:t xml:space="preserve"> value of 1.68. Atrazine could be adsorbed on adsorbent as both protonated and neutral species, depending on the solution pH (Weber, 1970). As the pH values were close to pK</w:t>
      </w:r>
      <w:r w:rsidRPr="00BF7FF7">
        <w:rPr>
          <w:sz w:val="22"/>
          <w:szCs w:val="22"/>
          <w:vertAlign w:val="subscript"/>
        </w:rPr>
        <w:t>a</w:t>
      </w:r>
      <w:r w:rsidRPr="00E551AA">
        <w:rPr>
          <w:sz w:val="22"/>
          <w:szCs w:val="22"/>
        </w:rPr>
        <w:t xml:space="preserve"> value, atrazine experienced protonization in acidic solutions which favoured hydrogen bond formation or proton transfer, thus resulting in the increase of removal percentage of atrazine (Rafique and Nasreen, 2011). However, atrazine is found as neutral molecule in the environment (p</w:t>
      </w:r>
      <w:r w:rsidRPr="00E551AA">
        <w:rPr>
          <w:rFonts w:hint="eastAsia"/>
          <w:sz w:val="22"/>
          <w:szCs w:val="22"/>
        </w:rPr>
        <w:t xml:space="preserve">H </w:t>
      </w:r>
      <w:r w:rsidRPr="00E551AA">
        <w:rPr>
          <w:rFonts w:hint="eastAsia"/>
          <w:sz w:val="22"/>
          <w:szCs w:val="22"/>
        </w:rPr>
        <w:t>≈</w:t>
      </w:r>
      <w:r w:rsidRPr="00E551AA">
        <w:rPr>
          <w:rFonts w:hint="eastAsia"/>
          <w:sz w:val="22"/>
          <w:szCs w:val="22"/>
        </w:rPr>
        <w:t xml:space="preserve"> 5 to 8) (Colombini </w:t>
      </w:r>
      <w:r w:rsidR="00B902EC" w:rsidRPr="00B902EC">
        <w:rPr>
          <w:rFonts w:hint="eastAsia"/>
          <w:i/>
          <w:sz w:val="22"/>
          <w:szCs w:val="22"/>
        </w:rPr>
        <w:t>et al</w:t>
      </w:r>
      <w:r w:rsidRPr="00E551AA">
        <w:rPr>
          <w:rFonts w:hint="eastAsia"/>
          <w:sz w:val="22"/>
          <w:szCs w:val="22"/>
        </w:rPr>
        <w:t xml:space="preserve">., 1998). Meanwhile, with the increasing of solution pH, weakly basic atrazine became molecular species (Jamil </w:t>
      </w:r>
      <w:r w:rsidR="00B902EC" w:rsidRPr="00B902EC">
        <w:rPr>
          <w:rFonts w:hint="eastAsia"/>
          <w:i/>
          <w:sz w:val="22"/>
          <w:szCs w:val="22"/>
        </w:rPr>
        <w:t>et al</w:t>
      </w:r>
      <w:r w:rsidRPr="00E551AA">
        <w:rPr>
          <w:rFonts w:hint="eastAsia"/>
          <w:sz w:val="22"/>
          <w:szCs w:val="22"/>
        </w:rPr>
        <w:t>., 2011). At higher solution pH, a more negative charge developed at the surface of adsorbent and posed a strong</w:t>
      </w:r>
      <w:r w:rsidRPr="00E551AA">
        <w:rPr>
          <w:sz w:val="22"/>
          <w:szCs w:val="22"/>
        </w:rPr>
        <w:t xml:space="preserve">er electrostatic repulsion for atrazine molecules, thus resulted in decrease in adsorption of atrazine (Gupta </w:t>
      </w:r>
      <w:r w:rsidR="00B902EC" w:rsidRPr="00B902EC">
        <w:rPr>
          <w:i/>
          <w:sz w:val="22"/>
          <w:szCs w:val="22"/>
        </w:rPr>
        <w:t>et al</w:t>
      </w:r>
      <w:r w:rsidRPr="00E551AA">
        <w:rPr>
          <w:sz w:val="22"/>
          <w:szCs w:val="22"/>
        </w:rPr>
        <w:t>., 2011).</w:t>
      </w:r>
    </w:p>
    <w:p w:rsidR="00BF7FF7" w:rsidRDefault="00BF7FF7" w:rsidP="00256E05">
      <w:pPr>
        <w:tabs>
          <w:tab w:val="left" w:pos="426"/>
        </w:tabs>
        <w:autoSpaceDE w:val="0"/>
        <w:autoSpaceDN w:val="0"/>
        <w:adjustRightInd w:val="0"/>
        <w:jc w:val="both"/>
        <w:rPr>
          <w:sz w:val="22"/>
          <w:szCs w:val="22"/>
        </w:rPr>
      </w:pPr>
    </w:p>
    <w:p w:rsidR="00BF7FF7" w:rsidRDefault="00BF7FF7" w:rsidP="00256E05">
      <w:pPr>
        <w:tabs>
          <w:tab w:val="left" w:pos="426"/>
        </w:tabs>
        <w:autoSpaceDE w:val="0"/>
        <w:autoSpaceDN w:val="0"/>
        <w:adjustRightInd w:val="0"/>
        <w:jc w:val="both"/>
        <w:rPr>
          <w:sz w:val="22"/>
          <w:szCs w:val="22"/>
        </w:rPr>
      </w:pPr>
    </w:p>
    <w:p w:rsidR="00E551AA" w:rsidRDefault="00E551AA" w:rsidP="00256E05">
      <w:pPr>
        <w:autoSpaceDE w:val="0"/>
        <w:autoSpaceDN w:val="0"/>
        <w:adjustRightInd w:val="0"/>
        <w:jc w:val="both"/>
        <w:rPr>
          <w:i/>
          <w:sz w:val="22"/>
          <w:szCs w:val="22"/>
        </w:rPr>
      </w:pPr>
      <w:r w:rsidRPr="00454154">
        <w:rPr>
          <w:i/>
          <w:sz w:val="22"/>
          <w:szCs w:val="22"/>
        </w:rPr>
        <w:t>3.5</w:t>
      </w:r>
      <w:r w:rsidR="00454154">
        <w:rPr>
          <w:i/>
          <w:sz w:val="22"/>
          <w:szCs w:val="22"/>
        </w:rPr>
        <w:t xml:space="preserve">  </w:t>
      </w:r>
      <w:r w:rsidR="00256E05">
        <w:rPr>
          <w:i/>
          <w:sz w:val="22"/>
          <w:szCs w:val="22"/>
        </w:rPr>
        <w:tab/>
      </w:r>
      <w:r w:rsidRPr="00454154">
        <w:rPr>
          <w:i/>
          <w:sz w:val="22"/>
          <w:szCs w:val="22"/>
        </w:rPr>
        <w:t>Adsorption Isotherms</w:t>
      </w:r>
    </w:p>
    <w:p w:rsidR="00F73D50" w:rsidRPr="00454154" w:rsidRDefault="00F73D50" w:rsidP="00256E05">
      <w:pPr>
        <w:autoSpaceDE w:val="0"/>
        <w:autoSpaceDN w:val="0"/>
        <w:adjustRightInd w:val="0"/>
        <w:jc w:val="both"/>
        <w:rPr>
          <w:i/>
          <w:sz w:val="22"/>
          <w:szCs w:val="22"/>
        </w:rPr>
      </w:pPr>
    </w:p>
    <w:p w:rsidR="00E551AA" w:rsidRDefault="00E551AA" w:rsidP="00256E05">
      <w:pPr>
        <w:tabs>
          <w:tab w:val="left" w:pos="426"/>
        </w:tabs>
        <w:autoSpaceDE w:val="0"/>
        <w:autoSpaceDN w:val="0"/>
        <w:adjustRightInd w:val="0"/>
        <w:jc w:val="both"/>
        <w:rPr>
          <w:sz w:val="22"/>
          <w:szCs w:val="22"/>
        </w:rPr>
      </w:pPr>
      <w:r w:rsidRPr="00E551AA">
        <w:rPr>
          <w:sz w:val="22"/>
          <w:szCs w:val="22"/>
        </w:rPr>
        <w:t>The Langmuir equation is applicable to homogeneous adsorption where the adsorption of each adsorbate molecule on to the surface has equal adsorption activation energy. When C</w:t>
      </w:r>
      <w:r w:rsidRPr="005833C6">
        <w:rPr>
          <w:sz w:val="22"/>
          <w:szCs w:val="22"/>
          <w:vertAlign w:val="subscript"/>
        </w:rPr>
        <w:t>e</w:t>
      </w:r>
      <w:r w:rsidRPr="00E551AA">
        <w:rPr>
          <w:sz w:val="22"/>
          <w:szCs w:val="22"/>
        </w:rPr>
        <w:t>/q</w:t>
      </w:r>
      <w:r w:rsidRPr="005833C6">
        <w:rPr>
          <w:sz w:val="22"/>
          <w:szCs w:val="22"/>
          <w:vertAlign w:val="subscript"/>
        </w:rPr>
        <w:t>e</w:t>
      </w:r>
      <w:r w:rsidRPr="00E551AA">
        <w:rPr>
          <w:sz w:val="22"/>
          <w:szCs w:val="22"/>
        </w:rPr>
        <w:t xml:space="preserve"> was plotted against C</w:t>
      </w:r>
      <w:r w:rsidRPr="00633F9B">
        <w:rPr>
          <w:sz w:val="22"/>
          <w:szCs w:val="22"/>
          <w:vertAlign w:val="subscript"/>
        </w:rPr>
        <w:t>e</w:t>
      </w:r>
      <w:r w:rsidRPr="00E551AA">
        <w:rPr>
          <w:sz w:val="22"/>
          <w:szCs w:val="22"/>
        </w:rPr>
        <w:t>, a straight line with slope of 1/Q</w:t>
      </w:r>
      <w:r w:rsidRPr="005833C6">
        <w:rPr>
          <w:sz w:val="22"/>
          <w:szCs w:val="22"/>
          <w:vertAlign w:val="subscript"/>
        </w:rPr>
        <w:t>m</w:t>
      </w:r>
      <w:r w:rsidRPr="00E551AA">
        <w:rPr>
          <w:sz w:val="22"/>
          <w:szCs w:val="22"/>
        </w:rPr>
        <w:t xml:space="preserve"> was obtained. The values of Q</w:t>
      </w:r>
      <w:r w:rsidRPr="005833C6">
        <w:rPr>
          <w:sz w:val="22"/>
          <w:szCs w:val="22"/>
          <w:vertAlign w:val="subscript"/>
        </w:rPr>
        <w:t>m</w:t>
      </w:r>
      <w:r w:rsidRPr="00E551AA">
        <w:rPr>
          <w:sz w:val="22"/>
          <w:szCs w:val="22"/>
        </w:rPr>
        <w:t xml:space="preserve"> and K</w:t>
      </w:r>
      <w:r w:rsidRPr="005833C6">
        <w:rPr>
          <w:sz w:val="22"/>
          <w:szCs w:val="22"/>
          <w:vertAlign w:val="subscript"/>
        </w:rPr>
        <w:t>L</w:t>
      </w:r>
      <w:r w:rsidRPr="00E551AA">
        <w:rPr>
          <w:sz w:val="22"/>
          <w:szCs w:val="22"/>
        </w:rPr>
        <w:t xml:space="preserve"> were determined from the Langmuir plots and are presented in Table 1. The adsorption data of atrazine on both oil palm shell-based adsorbent and activated carbon were not fitted well into Langmuir isotherm as the correlation coefficients, R</w:t>
      </w:r>
      <w:r w:rsidRPr="005833C6">
        <w:rPr>
          <w:sz w:val="22"/>
          <w:szCs w:val="22"/>
          <w:vertAlign w:val="superscript"/>
        </w:rPr>
        <w:t>2</w:t>
      </w:r>
      <w:r w:rsidRPr="00E551AA">
        <w:rPr>
          <w:sz w:val="22"/>
          <w:szCs w:val="22"/>
        </w:rPr>
        <w:t xml:space="preserve"> obtained were relatively low. Furthermore, the negative values of Langmuir constants for oil palm shell-based adsorbent indicated the inadequacy of Langmuir isotherm to describe the adsorption of atrazine on the adsorbent (Uçar </w:t>
      </w:r>
      <w:r w:rsidR="00B902EC" w:rsidRPr="00B902EC">
        <w:rPr>
          <w:i/>
          <w:sz w:val="22"/>
          <w:szCs w:val="22"/>
        </w:rPr>
        <w:t>et al</w:t>
      </w:r>
      <w:r w:rsidRPr="00E551AA">
        <w:rPr>
          <w:sz w:val="22"/>
          <w:szCs w:val="22"/>
        </w:rPr>
        <w:t xml:space="preserve">., 2011). Unlike Langmuir isotherm model, Freundlich model occupies heterogeneous adsorption surface and active sites with different energy (Djebbar </w:t>
      </w:r>
      <w:r w:rsidR="00B902EC" w:rsidRPr="00B902EC">
        <w:rPr>
          <w:i/>
          <w:sz w:val="22"/>
          <w:szCs w:val="22"/>
        </w:rPr>
        <w:t>et al</w:t>
      </w:r>
      <w:r w:rsidRPr="00E551AA">
        <w:rPr>
          <w:sz w:val="22"/>
          <w:szCs w:val="22"/>
        </w:rPr>
        <w:t xml:space="preserve">., 2012). The Freundlich equation is suitable for a highly heterogeneous surface and an adsorption isotherm lacking a plateau, indicating a multi-layer adsorption (Daifullah </w:t>
      </w:r>
      <w:r w:rsidR="00B902EC" w:rsidRPr="00B902EC">
        <w:rPr>
          <w:i/>
          <w:sz w:val="22"/>
          <w:szCs w:val="22"/>
        </w:rPr>
        <w:t>et al</w:t>
      </w:r>
      <w:r w:rsidRPr="00E551AA">
        <w:rPr>
          <w:sz w:val="22"/>
          <w:szCs w:val="22"/>
        </w:rPr>
        <w:t>., 2004). The Freundlich constants K</w:t>
      </w:r>
      <w:r w:rsidRPr="005833C6">
        <w:rPr>
          <w:sz w:val="22"/>
          <w:szCs w:val="22"/>
          <w:vertAlign w:val="subscript"/>
        </w:rPr>
        <w:t>F</w:t>
      </w:r>
      <w:r w:rsidRPr="00E551AA">
        <w:rPr>
          <w:sz w:val="22"/>
          <w:szCs w:val="22"/>
        </w:rPr>
        <w:t xml:space="preserve"> and intensity n could be calculated from the slope and intercept of the linear plot of ln q</w:t>
      </w:r>
      <w:r w:rsidRPr="00633F9B">
        <w:rPr>
          <w:sz w:val="22"/>
          <w:szCs w:val="22"/>
          <w:vertAlign w:val="subscript"/>
        </w:rPr>
        <w:t>e</w:t>
      </w:r>
      <w:r w:rsidRPr="00E551AA">
        <w:rPr>
          <w:sz w:val="22"/>
          <w:szCs w:val="22"/>
        </w:rPr>
        <w:t xml:space="preserve"> versus ln C</w:t>
      </w:r>
      <w:r w:rsidRPr="00633F9B">
        <w:rPr>
          <w:sz w:val="22"/>
          <w:szCs w:val="22"/>
          <w:vertAlign w:val="subscript"/>
        </w:rPr>
        <w:t>e</w:t>
      </w:r>
      <w:r w:rsidRPr="00E551AA">
        <w:rPr>
          <w:sz w:val="22"/>
          <w:szCs w:val="22"/>
        </w:rPr>
        <w:t xml:space="preserve"> and the values are presented in Table 1. The correlation coefficient, R</w:t>
      </w:r>
      <w:r w:rsidRPr="00633F9B">
        <w:rPr>
          <w:sz w:val="22"/>
          <w:szCs w:val="22"/>
          <w:vertAlign w:val="superscript"/>
        </w:rPr>
        <w:t>2</w:t>
      </w:r>
      <w:r w:rsidRPr="00E551AA">
        <w:rPr>
          <w:sz w:val="22"/>
          <w:szCs w:val="22"/>
        </w:rPr>
        <w:t xml:space="preserve"> of Freundlich isotherm for oil palm shell-based adsorbent and activated carbon were 0.995 and 0.888, respectively, indicating that the equilibrium data were better fitted to Freundlich isotherm. Thus, the Freundlich isotherm model was used to estimate the adsorption capacity of the adsorbent for atrazine. The adsorption capacity, K</w:t>
      </w:r>
      <w:r w:rsidRPr="00633F9B">
        <w:rPr>
          <w:sz w:val="22"/>
          <w:szCs w:val="22"/>
          <w:vertAlign w:val="subscript"/>
        </w:rPr>
        <w:t>F</w:t>
      </w:r>
      <w:r w:rsidRPr="00E551AA">
        <w:rPr>
          <w:sz w:val="22"/>
          <w:szCs w:val="22"/>
        </w:rPr>
        <w:t xml:space="preserve"> and intensity n for adsorption of atrazine on oil palm shell-based adsorbent were 0.007 (mg/g)(L/mg)</w:t>
      </w:r>
      <w:r w:rsidRPr="00633F9B">
        <w:rPr>
          <w:sz w:val="22"/>
          <w:szCs w:val="22"/>
          <w:vertAlign w:val="superscript"/>
        </w:rPr>
        <w:t>1/n</w:t>
      </w:r>
      <w:r w:rsidRPr="00E551AA">
        <w:rPr>
          <w:sz w:val="22"/>
          <w:szCs w:val="22"/>
        </w:rPr>
        <w:t xml:space="preserve"> and 0.531, respectively. Furthermore, the value of n was less than one, indicating that the adsorption of atrazine on oil palm shell-based adsorbent was less favorable as compared to activated carbon.</w:t>
      </w:r>
    </w:p>
    <w:p w:rsidR="00256E05" w:rsidRDefault="00256E05" w:rsidP="00256E05">
      <w:pPr>
        <w:pStyle w:val="Web"/>
        <w:shd w:val="clear" w:color="auto" w:fill="FFFFFF"/>
        <w:spacing w:before="0" w:beforeAutospacing="0" w:after="0" w:afterAutospacing="0"/>
        <w:jc w:val="center"/>
        <w:rPr>
          <w:sz w:val="22"/>
          <w:szCs w:val="22"/>
        </w:rPr>
      </w:pPr>
    </w:p>
    <w:p w:rsidR="00E551AA" w:rsidRPr="00256E05" w:rsidRDefault="00E551AA" w:rsidP="00256E05">
      <w:pPr>
        <w:pStyle w:val="Web"/>
        <w:shd w:val="clear" w:color="auto" w:fill="FFFFFF"/>
        <w:spacing w:before="0" w:beforeAutospacing="0" w:after="0" w:afterAutospacing="0"/>
        <w:jc w:val="center"/>
        <w:rPr>
          <w:sz w:val="20"/>
          <w:szCs w:val="20"/>
        </w:rPr>
      </w:pPr>
      <w:r w:rsidRPr="00256E05">
        <w:rPr>
          <w:sz w:val="20"/>
          <w:szCs w:val="20"/>
        </w:rPr>
        <w:t xml:space="preserve">Table 1: </w:t>
      </w:r>
      <w:r w:rsidRPr="00256E05">
        <w:rPr>
          <w:sz w:val="20"/>
          <w:szCs w:val="20"/>
          <w:lang w:val="en-US"/>
        </w:rPr>
        <w:t xml:space="preserve">Langmuir and </w:t>
      </w:r>
      <w:proofErr w:type="spellStart"/>
      <w:r w:rsidRPr="00256E05">
        <w:rPr>
          <w:sz w:val="20"/>
          <w:szCs w:val="20"/>
          <w:lang w:val="en-US"/>
        </w:rPr>
        <w:t>Freundlich</w:t>
      </w:r>
      <w:proofErr w:type="spellEnd"/>
      <w:r w:rsidRPr="00256E05">
        <w:rPr>
          <w:sz w:val="20"/>
          <w:szCs w:val="20"/>
          <w:lang w:val="en-US"/>
        </w:rPr>
        <w:t xml:space="preserve"> constants for the adsorption of atrazine on oil palm shell-based adsorbent and activated carbon</w:t>
      </w:r>
    </w:p>
    <w:tbl>
      <w:tblPr>
        <w:tblW w:w="7321" w:type="dxa"/>
        <w:jc w:val="center"/>
        <w:tblLayout w:type="fixed"/>
        <w:tblLook w:val="00A0" w:firstRow="1" w:lastRow="0" w:firstColumn="1" w:lastColumn="0" w:noHBand="0" w:noVBand="0"/>
      </w:tblPr>
      <w:tblGrid>
        <w:gridCol w:w="2632"/>
        <w:gridCol w:w="767"/>
        <w:gridCol w:w="731"/>
        <w:gridCol w:w="600"/>
        <w:gridCol w:w="1418"/>
        <w:gridCol w:w="662"/>
        <w:gridCol w:w="511"/>
      </w:tblGrid>
      <w:tr w:rsidR="00E551AA" w:rsidRPr="00F87E64" w:rsidTr="00E46827">
        <w:trPr>
          <w:jc w:val="center"/>
        </w:trPr>
        <w:tc>
          <w:tcPr>
            <w:tcW w:w="2632" w:type="dxa"/>
            <w:vMerge w:val="restart"/>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Adsorbents</w:t>
            </w:r>
          </w:p>
        </w:tc>
        <w:tc>
          <w:tcPr>
            <w:tcW w:w="2098" w:type="dxa"/>
            <w:gridSpan w:val="3"/>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Langmuir</w:t>
            </w:r>
          </w:p>
        </w:tc>
        <w:tc>
          <w:tcPr>
            <w:tcW w:w="2591" w:type="dxa"/>
            <w:gridSpan w:val="3"/>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proofErr w:type="spellStart"/>
            <w:r w:rsidRPr="00F87E64">
              <w:rPr>
                <w:sz w:val="20"/>
                <w:szCs w:val="16"/>
              </w:rPr>
              <w:t>Freundlich</w:t>
            </w:r>
            <w:proofErr w:type="spellEnd"/>
          </w:p>
        </w:tc>
      </w:tr>
      <w:tr w:rsidR="00E551AA" w:rsidRPr="00F87E64" w:rsidTr="00E46827">
        <w:trPr>
          <w:jc w:val="center"/>
        </w:trPr>
        <w:tc>
          <w:tcPr>
            <w:tcW w:w="2632" w:type="dxa"/>
            <w:vMerge/>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p>
        </w:tc>
        <w:tc>
          <w:tcPr>
            <w:tcW w:w="767"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proofErr w:type="spellStart"/>
            <w:r w:rsidRPr="00F87E64">
              <w:rPr>
                <w:sz w:val="20"/>
                <w:szCs w:val="16"/>
              </w:rPr>
              <w:t>Q</w:t>
            </w:r>
            <w:r w:rsidRPr="00F87E64">
              <w:rPr>
                <w:sz w:val="20"/>
                <w:szCs w:val="16"/>
                <w:vertAlign w:val="subscript"/>
              </w:rPr>
              <w:t>m</w:t>
            </w:r>
            <w:proofErr w:type="spellEnd"/>
            <w:r w:rsidRPr="00F87E64">
              <w:rPr>
                <w:sz w:val="20"/>
                <w:szCs w:val="16"/>
              </w:rPr>
              <w:t xml:space="preserve"> (mg/g)</w:t>
            </w:r>
          </w:p>
        </w:tc>
        <w:tc>
          <w:tcPr>
            <w:tcW w:w="731"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K</w:t>
            </w:r>
            <w:r w:rsidRPr="00F87E64">
              <w:rPr>
                <w:sz w:val="20"/>
                <w:szCs w:val="16"/>
                <w:vertAlign w:val="subscript"/>
              </w:rPr>
              <w:t>L</w:t>
            </w:r>
            <w:r w:rsidRPr="00F87E64">
              <w:rPr>
                <w:sz w:val="20"/>
                <w:szCs w:val="16"/>
              </w:rPr>
              <w:t xml:space="preserve"> (L/mg)</w:t>
            </w:r>
          </w:p>
        </w:tc>
        <w:tc>
          <w:tcPr>
            <w:tcW w:w="600"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R</w:t>
            </w:r>
            <w:r w:rsidRPr="00F87E64">
              <w:rPr>
                <w:sz w:val="20"/>
                <w:szCs w:val="16"/>
                <w:vertAlign w:val="superscript"/>
              </w:rPr>
              <w:t>2</w:t>
            </w:r>
          </w:p>
        </w:tc>
        <w:tc>
          <w:tcPr>
            <w:tcW w:w="1418"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K</w:t>
            </w:r>
            <w:r w:rsidRPr="00F87E64">
              <w:rPr>
                <w:sz w:val="20"/>
                <w:szCs w:val="16"/>
                <w:vertAlign w:val="subscript"/>
              </w:rPr>
              <w:t>F</w:t>
            </w:r>
            <w:r w:rsidRPr="00F87E64">
              <w:rPr>
                <w:sz w:val="20"/>
                <w:szCs w:val="16"/>
              </w:rPr>
              <w:t xml:space="preserve"> (mg/g)(L/mg)</w:t>
            </w:r>
            <w:r w:rsidRPr="00F87E64">
              <w:rPr>
                <w:sz w:val="20"/>
                <w:szCs w:val="16"/>
                <w:vertAlign w:val="superscript"/>
              </w:rPr>
              <w:t>1/n</w:t>
            </w:r>
          </w:p>
        </w:tc>
        <w:tc>
          <w:tcPr>
            <w:tcW w:w="662"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n</w:t>
            </w:r>
          </w:p>
        </w:tc>
        <w:tc>
          <w:tcPr>
            <w:tcW w:w="511" w:type="dxa"/>
            <w:tcBorders>
              <w:top w:val="single" w:sz="4" w:space="0" w:color="auto"/>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R</w:t>
            </w:r>
            <w:r w:rsidRPr="00F87E64">
              <w:rPr>
                <w:sz w:val="20"/>
                <w:szCs w:val="16"/>
                <w:vertAlign w:val="superscript"/>
              </w:rPr>
              <w:t>2</w:t>
            </w:r>
          </w:p>
        </w:tc>
      </w:tr>
      <w:tr w:rsidR="00E551AA" w:rsidRPr="00F87E64" w:rsidTr="00E46827">
        <w:trPr>
          <w:jc w:val="center"/>
        </w:trPr>
        <w:tc>
          <w:tcPr>
            <w:tcW w:w="2632"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Oil palm shell-based adsorbent</w:t>
            </w:r>
          </w:p>
        </w:tc>
        <w:tc>
          <w:tcPr>
            <w:tcW w:w="767"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-1.065</w:t>
            </w:r>
          </w:p>
        </w:tc>
        <w:tc>
          <w:tcPr>
            <w:tcW w:w="731"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-0.034</w:t>
            </w:r>
          </w:p>
        </w:tc>
        <w:tc>
          <w:tcPr>
            <w:tcW w:w="600"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0.713</w:t>
            </w:r>
          </w:p>
        </w:tc>
        <w:tc>
          <w:tcPr>
            <w:tcW w:w="1418"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0.007</w:t>
            </w:r>
          </w:p>
        </w:tc>
        <w:tc>
          <w:tcPr>
            <w:tcW w:w="662"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0.531</w:t>
            </w:r>
          </w:p>
        </w:tc>
        <w:tc>
          <w:tcPr>
            <w:tcW w:w="511" w:type="dxa"/>
            <w:tcBorders>
              <w:top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0.995</w:t>
            </w:r>
          </w:p>
        </w:tc>
      </w:tr>
      <w:tr w:rsidR="00E551AA" w:rsidRPr="00F87E64" w:rsidTr="00E46827">
        <w:trPr>
          <w:jc w:val="center"/>
        </w:trPr>
        <w:tc>
          <w:tcPr>
            <w:tcW w:w="2632"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Activated carbon</w:t>
            </w:r>
          </w:p>
        </w:tc>
        <w:tc>
          <w:tcPr>
            <w:tcW w:w="767"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62.058</w:t>
            </w:r>
          </w:p>
        </w:tc>
        <w:tc>
          <w:tcPr>
            <w:tcW w:w="731"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1.196</w:t>
            </w:r>
          </w:p>
        </w:tc>
        <w:tc>
          <w:tcPr>
            <w:tcW w:w="600"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0.626</w:t>
            </w:r>
          </w:p>
        </w:tc>
        <w:tc>
          <w:tcPr>
            <w:tcW w:w="1418"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46.462</w:t>
            </w:r>
          </w:p>
        </w:tc>
        <w:tc>
          <w:tcPr>
            <w:tcW w:w="662"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1.321</w:t>
            </w:r>
          </w:p>
        </w:tc>
        <w:tc>
          <w:tcPr>
            <w:tcW w:w="511" w:type="dxa"/>
            <w:tcBorders>
              <w:bottom w:val="single" w:sz="4" w:space="0" w:color="auto"/>
            </w:tcBorders>
            <w:tcMar>
              <w:left w:w="0" w:type="dxa"/>
              <w:right w:w="0" w:type="dxa"/>
            </w:tcMar>
            <w:vAlign w:val="center"/>
          </w:tcPr>
          <w:p w:rsidR="00E551AA" w:rsidRPr="00F87E64" w:rsidRDefault="00E551AA" w:rsidP="00256E05">
            <w:pPr>
              <w:pStyle w:val="Web"/>
              <w:spacing w:before="0" w:beforeAutospacing="0" w:after="0" w:afterAutospacing="0"/>
              <w:jc w:val="both"/>
              <w:rPr>
                <w:sz w:val="20"/>
                <w:szCs w:val="16"/>
              </w:rPr>
            </w:pPr>
            <w:r w:rsidRPr="00F87E64">
              <w:rPr>
                <w:sz w:val="20"/>
                <w:szCs w:val="16"/>
              </w:rPr>
              <w:t>0.888</w:t>
            </w:r>
          </w:p>
        </w:tc>
      </w:tr>
    </w:tbl>
    <w:p w:rsidR="00E551AA" w:rsidRPr="00F87E64" w:rsidRDefault="00E551AA" w:rsidP="00256E05">
      <w:pPr>
        <w:jc w:val="both"/>
        <w:rPr>
          <w:i/>
        </w:rPr>
      </w:pPr>
    </w:p>
    <w:p w:rsidR="00E551AA" w:rsidRDefault="00E551AA" w:rsidP="00256E05">
      <w:pPr>
        <w:autoSpaceDE w:val="0"/>
        <w:autoSpaceDN w:val="0"/>
        <w:adjustRightInd w:val="0"/>
        <w:jc w:val="both"/>
        <w:rPr>
          <w:sz w:val="22"/>
          <w:szCs w:val="22"/>
        </w:rPr>
      </w:pPr>
    </w:p>
    <w:p w:rsidR="00E551AA" w:rsidRDefault="00E551AA" w:rsidP="00256E05">
      <w:pPr>
        <w:autoSpaceDE w:val="0"/>
        <w:autoSpaceDN w:val="0"/>
        <w:adjustRightInd w:val="0"/>
        <w:jc w:val="both"/>
        <w:rPr>
          <w:i/>
          <w:sz w:val="22"/>
          <w:szCs w:val="22"/>
        </w:rPr>
      </w:pPr>
      <w:r w:rsidRPr="00F73D50">
        <w:rPr>
          <w:i/>
          <w:sz w:val="22"/>
          <w:szCs w:val="22"/>
        </w:rPr>
        <w:t xml:space="preserve">3.6   </w:t>
      </w:r>
      <w:r w:rsidR="00256E05">
        <w:rPr>
          <w:i/>
          <w:sz w:val="22"/>
          <w:szCs w:val="22"/>
        </w:rPr>
        <w:tab/>
      </w:r>
      <w:r w:rsidRPr="00F73D50">
        <w:rPr>
          <w:i/>
          <w:sz w:val="22"/>
          <w:szCs w:val="22"/>
        </w:rPr>
        <w:t>Adsorption Kinetics</w:t>
      </w:r>
    </w:p>
    <w:p w:rsidR="00F73D50" w:rsidRPr="00F73D50" w:rsidRDefault="00F73D50" w:rsidP="00256E05">
      <w:pPr>
        <w:autoSpaceDE w:val="0"/>
        <w:autoSpaceDN w:val="0"/>
        <w:adjustRightInd w:val="0"/>
        <w:jc w:val="both"/>
        <w:rPr>
          <w:i/>
          <w:sz w:val="22"/>
          <w:szCs w:val="22"/>
        </w:rPr>
      </w:pPr>
    </w:p>
    <w:p w:rsidR="00E551AA" w:rsidRPr="00E551AA" w:rsidRDefault="00E551AA" w:rsidP="00256E05">
      <w:pPr>
        <w:tabs>
          <w:tab w:val="left" w:pos="426"/>
        </w:tabs>
        <w:autoSpaceDE w:val="0"/>
        <w:autoSpaceDN w:val="0"/>
        <w:adjustRightInd w:val="0"/>
        <w:jc w:val="both"/>
        <w:rPr>
          <w:sz w:val="22"/>
          <w:szCs w:val="22"/>
        </w:rPr>
      </w:pPr>
      <w:r w:rsidRPr="00E551AA">
        <w:rPr>
          <w:sz w:val="22"/>
          <w:szCs w:val="22"/>
        </w:rPr>
        <w:t>The adsorption kinetics data were fitted to the pseudo-first-order and pseudo-second-order kinetic models to evaluate the adsorption mechanism of the adsorption process. Constants k</w:t>
      </w:r>
      <w:r w:rsidRPr="00633F9B">
        <w:rPr>
          <w:sz w:val="22"/>
          <w:szCs w:val="22"/>
          <w:vertAlign w:val="subscript"/>
        </w:rPr>
        <w:t>1</w:t>
      </w:r>
      <w:r w:rsidRPr="00E551AA">
        <w:rPr>
          <w:sz w:val="22"/>
          <w:szCs w:val="22"/>
        </w:rPr>
        <w:t xml:space="preserve"> and q</w:t>
      </w:r>
      <w:r w:rsidRPr="00633F9B">
        <w:rPr>
          <w:sz w:val="22"/>
          <w:szCs w:val="22"/>
          <w:vertAlign w:val="subscript"/>
        </w:rPr>
        <w:t>e</w:t>
      </w:r>
      <w:r w:rsidRPr="00E551AA">
        <w:rPr>
          <w:sz w:val="22"/>
          <w:szCs w:val="22"/>
        </w:rPr>
        <w:t xml:space="preserve"> for the pseudo-first-order kinetic model could be calculated from the plot of ln (q</w:t>
      </w:r>
      <w:r w:rsidRPr="00633F9B">
        <w:rPr>
          <w:sz w:val="22"/>
          <w:szCs w:val="22"/>
          <w:vertAlign w:val="subscript"/>
        </w:rPr>
        <w:t>e</w:t>
      </w:r>
      <w:r w:rsidRPr="00E551AA">
        <w:rPr>
          <w:sz w:val="22"/>
          <w:szCs w:val="22"/>
        </w:rPr>
        <w:t xml:space="preserve"> – q</w:t>
      </w:r>
      <w:r w:rsidRPr="00633F9B">
        <w:rPr>
          <w:sz w:val="22"/>
          <w:szCs w:val="22"/>
          <w:vertAlign w:val="subscript"/>
        </w:rPr>
        <w:t>t</w:t>
      </w:r>
      <w:r w:rsidRPr="00E551AA">
        <w:rPr>
          <w:sz w:val="22"/>
          <w:szCs w:val="22"/>
        </w:rPr>
        <w:t>) versus time t, and are presented in Table 2. The correlation coefficient, R</w:t>
      </w:r>
      <w:r w:rsidRPr="00633F9B">
        <w:rPr>
          <w:sz w:val="22"/>
          <w:szCs w:val="22"/>
          <w:vertAlign w:val="superscript"/>
        </w:rPr>
        <w:t>2</w:t>
      </w:r>
      <w:r w:rsidRPr="00E551AA">
        <w:rPr>
          <w:sz w:val="22"/>
          <w:szCs w:val="22"/>
        </w:rPr>
        <w:t xml:space="preserve"> values for the pseudo-first-order kinetic model were lower than those for pseudo-second-order kinetic model at all initial atrazine concentrations. In addition, the pseudo-first-order model gave a relatively large deviation between the calculated and experimental values of qe, indicating that pseudo-first-order model did not appropriately </w:t>
      </w:r>
      <w:r w:rsidRPr="00E551AA">
        <w:rPr>
          <w:sz w:val="22"/>
          <w:szCs w:val="22"/>
        </w:rPr>
        <w:lastRenderedPageBreak/>
        <w:t>describe the adsorption process of atrazine on oil palm shell-based adsorbent. The pseudo-second-order kinetic model predicted the adsorption behaviour based on the agreement with chemisorption being the rate limiting step (Ho and McKay, 1998). The linear plots of t/q</w:t>
      </w:r>
      <w:r w:rsidRPr="00F73D50">
        <w:rPr>
          <w:sz w:val="22"/>
          <w:szCs w:val="22"/>
          <w:vertAlign w:val="subscript"/>
        </w:rPr>
        <w:t>t</w:t>
      </w:r>
      <w:r w:rsidRPr="00E551AA">
        <w:rPr>
          <w:sz w:val="22"/>
          <w:szCs w:val="22"/>
        </w:rPr>
        <w:t xml:space="preserve"> versus t were plotted. The constants k</w:t>
      </w:r>
      <w:r w:rsidRPr="00633F9B">
        <w:rPr>
          <w:sz w:val="22"/>
          <w:szCs w:val="22"/>
          <w:vertAlign w:val="subscript"/>
        </w:rPr>
        <w:t>2</w:t>
      </w:r>
      <w:r w:rsidRPr="00E551AA">
        <w:rPr>
          <w:sz w:val="22"/>
          <w:szCs w:val="22"/>
        </w:rPr>
        <w:t xml:space="preserve"> and q</w:t>
      </w:r>
      <w:r w:rsidRPr="00633F9B">
        <w:rPr>
          <w:sz w:val="22"/>
          <w:szCs w:val="22"/>
          <w:vertAlign w:val="subscript"/>
        </w:rPr>
        <w:t>e</w:t>
      </w:r>
      <w:r w:rsidRPr="00E551AA">
        <w:rPr>
          <w:sz w:val="22"/>
          <w:szCs w:val="22"/>
        </w:rPr>
        <w:t xml:space="preserve"> could be calculated from the plots and are shown in Table 2. The pseudo-second-order kinetic model yielded a better fit than the pseudo-first-order kinetic model as the correlation coefficient, R</w:t>
      </w:r>
      <w:r w:rsidRPr="00633F9B">
        <w:rPr>
          <w:sz w:val="22"/>
          <w:szCs w:val="22"/>
          <w:vertAlign w:val="superscript"/>
        </w:rPr>
        <w:t>2</w:t>
      </w:r>
      <w:r w:rsidRPr="00E551AA">
        <w:rPr>
          <w:sz w:val="22"/>
          <w:szCs w:val="22"/>
        </w:rPr>
        <w:t xml:space="preserve"> values were between 0.951 and 0.999, indicating the applicability of the pseudo-second-order kinetic model to depict the adsorption process of atrazine on oil palm shell-based adsorbent. It could be concluded that the mechanism of adsorption was pseudo-second-order reaction. A better fit to the pseudo-second-order kinetic model suggested that the adsorption rate was dependent more on the availability of the adsorption sites rather than the atrazine concentration (Salman </w:t>
      </w:r>
      <w:r w:rsidR="00B902EC" w:rsidRPr="00B902EC">
        <w:rPr>
          <w:i/>
          <w:sz w:val="22"/>
          <w:szCs w:val="22"/>
        </w:rPr>
        <w:t>et al</w:t>
      </w:r>
      <w:r w:rsidRPr="00E551AA">
        <w:rPr>
          <w:sz w:val="22"/>
          <w:szCs w:val="22"/>
        </w:rPr>
        <w:t>., 2011).</w:t>
      </w:r>
    </w:p>
    <w:p w:rsidR="00256E05" w:rsidRDefault="00454154" w:rsidP="00256E05">
      <w:pPr>
        <w:tabs>
          <w:tab w:val="left" w:pos="426"/>
        </w:tabs>
        <w:autoSpaceDE w:val="0"/>
        <w:autoSpaceDN w:val="0"/>
        <w:adjustRightInd w:val="0"/>
        <w:jc w:val="both"/>
        <w:rPr>
          <w:sz w:val="22"/>
          <w:szCs w:val="22"/>
        </w:rPr>
      </w:pPr>
      <w:r>
        <w:rPr>
          <w:sz w:val="22"/>
          <w:szCs w:val="22"/>
        </w:rPr>
        <w:tab/>
      </w:r>
    </w:p>
    <w:p w:rsidR="00E551AA" w:rsidRDefault="00E551AA" w:rsidP="00256E05">
      <w:pPr>
        <w:tabs>
          <w:tab w:val="left" w:pos="426"/>
        </w:tabs>
        <w:autoSpaceDE w:val="0"/>
        <w:autoSpaceDN w:val="0"/>
        <w:adjustRightInd w:val="0"/>
        <w:jc w:val="both"/>
        <w:rPr>
          <w:sz w:val="22"/>
          <w:szCs w:val="22"/>
        </w:rPr>
      </w:pPr>
      <w:r w:rsidRPr="00E551AA">
        <w:rPr>
          <w:sz w:val="22"/>
          <w:szCs w:val="22"/>
        </w:rPr>
        <w:t>However, for adsorption of atrazine on activated carbon, the experimental data were better fitted into the pseudo-first-order kinetic model than the pseudo-second-order kinetic model, reflected by the correlation coefficient, R</w:t>
      </w:r>
      <w:r w:rsidRPr="00633F9B">
        <w:rPr>
          <w:sz w:val="22"/>
          <w:szCs w:val="22"/>
          <w:vertAlign w:val="superscript"/>
        </w:rPr>
        <w:t>2</w:t>
      </w:r>
      <w:r w:rsidRPr="00E551AA">
        <w:rPr>
          <w:sz w:val="22"/>
          <w:szCs w:val="22"/>
        </w:rPr>
        <w:t xml:space="preserve"> values as listed in Table 2. Besides, the q</w:t>
      </w:r>
      <w:r w:rsidRPr="00633F9B">
        <w:rPr>
          <w:sz w:val="22"/>
          <w:szCs w:val="22"/>
          <w:vertAlign w:val="subscript"/>
        </w:rPr>
        <w:t>e</w:t>
      </w:r>
      <w:r w:rsidRPr="00E551AA">
        <w:rPr>
          <w:sz w:val="22"/>
          <w:szCs w:val="22"/>
        </w:rPr>
        <w:t xml:space="preserve"> values predicted by the pseudo-first-order kinetic model agreed well with the experimental q</w:t>
      </w:r>
      <w:r w:rsidRPr="00F73D50">
        <w:rPr>
          <w:sz w:val="22"/>
          <w:szCs w:val="22"/>
          <w:vertAlign w:val="subscript"/>
        </w:rPr>
        <w:t>e</w:t>
      </w:r>
      <w:r w:rsidRPr="00E551AA">
        <w:rPr>
          <w:sz w:val="22"/>
          <w:szCs w:val="22"/>
        </w:rPr>
        <w:t xml:space="preserve"> values, further confirming that the adsorption of atrazine on activated carbon followed the pseudo-first-order kinetic model. Table 2 illustrates that the rate constant k</w:t>
      </w:r>
      <w:r w:rsidRPr="00633F9B">
        <w:rPr>
          <w:sz w:val="22"/>
          <w:szCs w:val="22"/>
          <w:vertAlign w:val="subscript"/>
        </w:rPr>
        <w:t>1</w:t>
      </w:r>
      <w:r w:rsidRPr="00E551AA">
        <w:rPr>
          <w:sz w:val="22"/>
          <w:szCs w:val="22"/>
        </w:rPr>
        <w:t xml:space="preserve"> decreased with increasing initial atrazine concentrations, which indicated that it was faster for the adsorption of atrazine on activated carbon at lower initial concentrations to achieve equilibrium.</w:t>
      </w:r>
    </w:p>
    <w:p w:rsidR="00E551AA" w:rsidRDefault="00E551AA" w:rsidP="00256E05">
      <w:pPr>
        <w:autoSpaceDE w:val="0"/>
        <w:autoSpaceDN w:val="0"/>
        <w:adjustRightInd w:val="0"/>
        <w:jc w:val="both"/>
        <w:rPr>
          <w:sz w:val="22"/>
          <w:szCs w:val="22"/>
        </w:rPr>
      </w:pPr>
    </w:p>
    <w:p w:rsidR="00E551AA" w:rsidRPr="00256E05" w:rsidRDefault="00E551AA" w:rsidP="00256E05">
      <w:pPr>
        <w:adjustRightInd w:val="0"/>
        <w:jc w:val="center"/>
        <w:rPr>
          <w:sz w:val="20"/>
          <w:szCs w:val="20"/>
        </w:rPr>
      </w:pPr>
      <w:r w:rsidRPr="00256E05">
        <w:rPr>
          <w:sz w:val="20"/>
          <w:szCs w:val="20"/>
        </w:rPr>
        <w:t>Table 2: Pseudo-first-order and pseudo-second-order constants for adsorption of atrazine on oil palm shell-based adsorbent and activated carbon</w:t>
      </w:r>
    </w:p>
    <w:p w:rsidR="00E551AA" w:rsidRPr="00F87E64" w:rsidRDefault="00E551AA" w:rsidP="00256E05">
      <w:pPr>
        <w:adjustRightInd w:val="0"/>
        <w:ind w:left="567" w:hanging="567"/>
        <w:jc w:val="both"/>
      </w:pPr>
    </w:p>
    <w:tbl>
      <w:tblPr>
        <w:tblW w:w="7183" w:type="dxa"/>
        <w:jc w:val="center"/>
        <w:tblCellMar>
          <w:left w:w="0" w:type="dxa"/>
          <w:right w:w="0" w:type="dxa"/>
        </w:tblCellMar>
        <w:tblLook w:val="00A0" w:firstRow="1" w:lastRow="0" w:firstColumn="1" w:lastColumn="0" w:noHBand="0" w:noVBand="0"/>
      </w:tblPr>
      <w:tblGrid>
        <w:gridCol w:w="1047"/>
        <w:gridCol w:w="654"/>
        <w:gridCol w:w="673"/>
        <w:gridCol w:w="603"/>
        <w:gridCol w:w="967"/>
        <w:gridCol w:w="793"/>
        <w:gridCol w:w="1000"/>
        <w:gridCol w:w="873"/>
        <w:gridCol w:w="573"/>
      </w:tblGrid>
      <w:tr w:rsidR="00E551AA" w:rsidRPr="00E551AA" w:rsidTr="00E46827">
        <w:trPr>
          <w:jc w:val="center"/>
        </w:trPr>
        <w:tc>
          <w:tcPr>
            <w:tcW w:w="1056" w:type="dxa"/>
            <w:vMerge w:val="restart"/>
            <w:tcBorders>
              <w:top w:val="single" w:sz="4" w:space="0" w:color="auto"/>
            </w:tcBorders>
            <w:vAlign w:val="center"/>
          </w:tcPr>
          <w:p w:rsidR="00E551AA" w:rsidRPr="00E551AA" w:rsidRDefault="00E551AA" w:rsidP="00256E05">
            <w:pPr>
              <w:adjustRightInd w:val="0"/>
              <w:rPr>
                <w:sz w:val="20"/>
                <w:szCs w:val="20"/>
                <w:lang w:val="en-MY"/>
              </w:rPr>
            </w:pPr>
            <w:r w:rsidRPr="00E551AA">
              <w:rPr>
                <w:sz w:val="20"/>
                <w:szCs w:val="20"/>
                <w:lang w:val="en-MY"/>
              </w:rPr>
              <w:t>Adsorbents</w:t>
            </w:r>
          </w:p>
        </w:tc>
        <w:tc>
          <w:tcPr>
            <w:tcW w:w="660" w:type="dxa"/>
            <w:vMerge w:val="restart"/>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Initial Conc. (mg/L)</w:t>
            </w:r>
          </w:p>
        </w:tc>
        <w:tc>
          <w:tcPr>
            <w:tcW w:w="616" w:type="dxa"/>
            <w:vMerge w:val="restart"/>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Exp. </w:t>
            </w:r>
            <w:proofErr w:type="spellStart"/>
            <w:r w:rsidRPr="00E551AA">
              <w:rPr>
                <w:sz w:val="20"/>
                <w:szCs w:val="20"/>
                <w:lang w:val="en-MY"/>
              </w:rPr>
              <w:t>q</w:t>
            </w:r>
            <w:r w:rsidRPr="00E551AA">
              <w:rPr>
                <w:sz w:val="20"/>
                <w:szCs w:val="20"/>
                <w:vertAlign w:val="subscript"/>
                <w:lang w:val="en-MY"/>
              </w:rPr>
              <w:t>e</w:t>
            </w:r>
            <w:proofErr w:type="spellEnd"/>
          </w:p>
          <w:p w:rsidR="00E551AA" w:rsidRPr="00E551AA" w:rsidRDefault="00E551AA" w:rsidP="00256E05">
            <w:pPr>
              <w:adjustRightInd w:val="0"/>
              <w:jc w:val="both"/>
              <w:rPr>
                <w:sz w:val="20"/>
                <w:szCs w:val="20"/>
                <w:lang w:val="en-MY"/>
              </w:rPr>
            </w:pPr>
            <w:r w:rsidRPr="00E551AA">
              <w:rPr>
                <w:sz w:val="20"/>
                <w:szCs w:val="20"/>
                <w:lang w:val="en-MY"/>
              </w:rPr>
              <w:t>(mg/g)</w:t>
            </w:r>
          </w:p>
        </w:tc>
        <w:tc>
          <w:tcPr>
            <w:tcW w:w="2393" w:type="dxa"/>
            <w:gridSpan w:val="3"/>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Pseudo-first-order model</w:t>
            </w:r>
          </w:p>
        </w:tc>
        <w:tc>
          <w:tcPr>
            <w:tcW w:w="2458" w:type="dxa"/>
            <w:gridSpan w:val="3"/>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Pseudo-second-order model</w:t>
            </w:r>
          </w:p>
        </w:tc>
      </w:tr>
      <w:tr w:rsidR="00E551AA" w:rsidRPr="00E551AA" w:rsidTr="00E46827">
        <w:trPr>
          <w:jc w:val="center"/>
        </w:trPr>
        <w:tc>
          <w:tcPr>
            <w:tcW w:w="1056" w:type="dxa"/>
            <w:vMerge/>
            <w:tcBorders>
              <w:bottom w:val="single" w:sz="4" w:space="0" w:color="auto"/>
            </w:tcBorders>
            <w:vAlign w:val="center"/>
          </w:tcPr>
          <w:p w:rsidR="00E551AA" w:rsidRPr="00E551AA" w:rsidRDefault="00E551AA" w:rsidP="00256E05">
            <w:pPr>
              <w:adjustRightInd w:val="0"/>
              <w:rPr>
                <w:sz w:val="20"/>
                <w:szCs w:val="20"/>
                <w:lang w:val="en-MY"/>
              </w:rPr>
            </w:pPr>
          </w:p>
        </w:tc>
        <w:tc>
          <w:tcPr>
            <w:tcW w:w="660" w:type="dxa"/>
            <w:vMerge/>
            <w:tcBorders>
              <w:bottom w:val="single" w:sz="4" w:space="0" w:color="auto"/>
            </w:tcBorders>
            <w:vAlign w:val="center"/>
          </w:tcPr>
          <w:p w:rsidR="00E551AA" w:rsidRPr="00E551AA" w:rsidRDefault="00E551AA" w:rsidP="00256E05">
            <w:pPr>
              <w:adjustRightInd w:val="0"/>
              <w:jc w:val="both"/>
              <w:rPr>
                <w:sz w:val="20"/>
                <w:szCs w:val="20"/>
                <w:lang w:val="en-MY"/>
              </w:rPr>
            </w:pPr>
          </w:p>
        </w:tc>
        <w:tc>
          <w:tcPr>
            <w:tcW w:w="616" w:type="dxa"/>
            <w:vMerge/>
            <w:tcBorders>
              <w:bottom w:val="single" w:sz="4" w:space="0" w:color="auto"/>
            </w:tcBorders>
            <w:vAlign w:val="center"/>
          </w:tcPr>
          <w:p w:rsidR="00E551AA" w:rsidRPr="00E551AA" w:rsidRDefault="00E551AA" w:rsidP="00256E05">
            <w:pPr>
              <w:adjustRightInd w:val="0"/>
              <w:jc w:val="both"/>
              <w:rPr>
                <w:sz w:val="20"/>
                <w:szCs w:val="20"/>
                <w:lang w:val="en-MY"/>
              </w:rPr>
            </w:pPr>
          </w:p>
        </w:tc>
        <w:tc>
          <w:tcPr>
            <w:tcW w:w="605" w:type="dxa"/>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k</w:t>
            </w:r>
            <w:r w:rsidRPr="00E551AA">
              <w:rPr>
                <w:sz w:val="20"/>
                <w:szCs w:val="20"/>
                <w:vertAlign w:val="subscript"/>
                <w:lang w:val="en-MY"/>
              </w:rPr>
              <w:t>1</w:t>
            </w:r>
            <w:r w:rsidRPr="00E551AA">
              <w:rPr>
                <w:sz w:val="20"/>
                <w:szCs w:val="20"/>
                <w:lang w:val="en-MY"/>
              </w:rPr>
              <w:t xml:space="preserve"> (min</w:t>
            </w:r>
            <w:r w:rsidRPr="00E551AA">
              <w:rPr>
                <w:sz w:val="20"/>
                <w:szCs w:val="20"/>
                <w:vertAlign w:val="superscript"/>
                <w:lang w:val="en-MY"/>
              </w:rPr>
              <w:t>-1</w:t>
            </w:r>
            <w:r w:rsidRPr="00E551AA">
              <w:rPr>
                <w:sz w:val="20"/>
                <w:szCs w:val="20"/>
                <w:lang w:val="en-MY"/>
              </w:rPr>
              <w:t>)</w:t>
            </w:r>
          </w:p>
        </w:tc>
        <w:tc>
          <w:tcPr>
            <w:tcW w:w="980" w:type="dxa"/>
            <w:tcBorders>
              <w:top w:val="single" w:sz="4" w:space="0" w:color="auto"/>
              <w:bottom w:val="single" w:sz="4" w:space="0" w:color="auto"/>
            </w:tcBorders>
            <w:vAlign w:val="center"/>
          </w:tcPr>
          <w:p w:rsidR="00E551AA" w:rsidRPr="00E551AA" w:rsidRDefault="00E551AA" w:rsidP="00256E05">
            <w:pPr>
              <w:adjustRightInd w:val="0"/>
              <w:rPr>
                <w:sz w:val="20"/>
                <w:szCs w:val="20"/>
                <w:lang w:val="en-MY"/>
              </w:rPr>
            </w:pPr>
            <w:r w:rsidRPr="00E551AA">
              <w:rPr>
                <w:sz w:val="20"/>
                <w:szCs w:val="20"/>
                <w:lang w:val="en-MY"/>
              </w:rPr>
              <w:t xml:space="preserve">Calc. </w:t>
            </w:r>
            <w:proofErr w:type="spellStart"/>
            <w:r w:rsidRPr="00E551AA">
              <w:rPr>
                <w:sz w:val="20"/>
                <w:szCs w:val="20"/>
                <w:lang w:val="en-MY"/>
              </w:rPr>
              <w:t>q</w:t>
            </w:r>
            <w:r w:rsidRPr="00E551AA">
              <w:rPr>
                <w:sz w:val="20"/>
                <w:szCs w:val="20"/>
                <w:vertAlign w:val="subscript"/>
                <w:lang w:val="en-MY"/>
              </w:rPr>
              <w:t>e</w:t>
            </w:r>
            <w:proofErr w:type="spellEnd"/>
            <w:r w:rsidRPr="00E551AA">
              <w:rPr>
                <w:sz w:val="20"/>
                <w:szCs w:val="20"/>
                <w:vertAlign w:val="subscript"/>
                <w:lang w:val="en-MY"/>
              </w:rPr>
              <w:t xml:space="preserve"> </w:t>
            </w:r>
            <w:r w:rsidRPr="00E551AA">
              <w:rPr>
                <w:sz w:val="20"/>
                <w:szCs w:val="20"/>
                <w:lang w:val="en-MY"/>
              </w:rPr>
              <w:t>(mg/g)</w:t>
            </w:r>
          </w:p>
        </w:tc>
        <w:tc>
          <w:tcPr>
            <w:tcW w:w="808" w:type="dxa"/>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R</w:t>
            </w:r>
            <w:r w:rsidRPr="00E551AA">
              <w:rPr>
                <w:sz w:val="20"/>
                <w:szCs w:val="20"/>
                <w:vertAlign w:val="superscript"/>
                <w:lang w:val="en-MY"/>
              </w:rPr>
              <w:t>2</w:t>
            </w:r>
          </w:p>
        </w:tc>
        <w:tc>
          <w:tcPr>
            <w:tcW w:w="1005" w:type="dxa"/>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k</w:t>
            </w:r>
            <w:r w:rsidRPr="00E551AA">
              <w:rPr>
                <w:sz w:val="20"/>
                <w:szCs w:val="20"/>
                <w:vertAlign w:val="subscript"/>
                <w:lang w:val="en-MY"/>
              </w:rPr>
              <w:t>2</w:t>
            </w:r>
            <w:r w:rsidRPr="00E551AA">
              <w:rPr>
                <w:sz w:val="20"/>
                <w:szCs w:val="20"/>
                <w:lang w:val="en-MY"/>
              </w:rPr>
              <w:t xml:space="preserve"> (g/mg/min)</w:t>
            </w:r>
          </w:p>
        </w:tc>
        <w:tc>
          <w:tcPr>
            <w:tcW w:w="880" w:type="dxa"/>
            <w:tcBorders>
              <w:top w:val="single" w:sz="4" w:space="0" w:color="auto"/>
              <w:bottom w:val="single" w:sz="4" w:space="0" w:color="auto"/>
            </w:tcBorders>
            <w:vAlign w:val="center"/>
          </w:tcPr>
          <w:p w:rsidR="00E551AA" w:rsidRPr="00E551AA" w:rsidRDefault="00E551AA" w:rsidP="00256E05">
            <w:pPr>
              <w:adjustRightInd w:val="0"/>
              <w:rPr>
                <w:sz w:val="20"/>
                <w:szCs w:val="20"/>
                <w:lang w:val="en-MY"/>
              </w:rPr>
            </w:pPr>
            <w:r w:rsidRPr="00E551AA">
              <w:rPr>
                <w:sz w:val="20"/>
                <w:szCs w:val="20"/>
                <w:lang w:val="en-MY"/>
              </w:rPr>
              <w:t xml:space="preserve">Calc. </w:t>
            </w:r>
            <w:proofErr w:type="spellStart"/>
            <w:r w:rsidRPr="00E551AA">
              <w:rPr>
                <w:sz w:val="20"/>
                <w:szCs w:val="20"/>
                <w:lang w:val="en-MY"/>
              </w:rPr>
              <w:t>q</w:t>
            </w:r>
            <w:r w:rsidRPr="00E551AA">
              <w:rPr>
                <w:sz w:val="20"/>
                <w:szCs w:val="20"/>
                <w:vertAlign w:val="subscript"/>
                <w:lang w:val="en-MY"/>
              </w:rPr>
              <w:t>e</w:t>
            </w:r>
            <w:proofErr w:type="spellEnd"/>
            <w:r w:rsidRPr="00E551AA">
              <w:rPr>
                <w:sz w:val="20"/>
                <w:szCs w:val="20"/>
                <w:vertAlign w:val="subscript"/>
                <w:lang w:val="en-MY"/>
              </w:rPr>
              <w:t xml:space="preserve"> </w:t>
            </w:r>
            <w:r w:rsidRPr="00E551AA">
              <w:rPr>
                <w:sz w:val="20"/>
                <w:szCs w:val="20"/>
                <w:lang w:val="en-MY"/>
              </w:rPr>
              <w:t>(mg/g)</w:t>
            </w:r>
          </w:p>
        </w:tc>
        <w:tc>
          <w:tcPr>
            <w:tcW w:w="573" w:type="dxa"/>
            <w:tcBorders>
              <w:top w:val="single" w:sz="4" w:space="0" w:color="auto"/>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R</w:t>
            </w:r>
            <w:r w:rsidRPr="00E551AA">
              <w:rPr>
                <w:sz w:val="20"/>
                <w:szCs w:val="20"/>
                <w:vertAlign w:val="superscript"/>
                <w:lang w:val="en-MY"/>
              </w:rPr>
              <w:t>2</w:t>
            </w:r>
          </w:p>
        </w:tc>
      </w:tr>
      <w:tr w:rsidR="00E551AA" w:rsidRPr="00E551AA" w:rsidTr="00E46827">
        <w:trPr>
          <w:jc w:val="center"/>
        </w:trPr>
        <w:tc>
          <w:tcPr>
            <w:tcW w:w="1056" w:type="dxa"/>
            <w:vMerge w:val="restart"/>
            <w:tcBorders>
              <w:top w:val="single" w:sz="4" w:space="0" w:color="auto"/>
            </w:tcBorders>
            <w:vAlign w:val="center"/>
          </w:tcPr>
          <w:p w:rsidR="00E551AA" w:rsidRPr="00E551AA" w:rsidRDefault="00E551AA" w:rsidP="00256E05">
            <w:pPr>
              <w:adjustRightInd w:val="0"/>
              <w:rPr>
                <w:sz w:val="20"/>
                <w:szCs w:val="20"/>
                <w:lang w:val="en-MY"/>
              </w:rPr>
            </w:pPr>
            <w:r w:rsidRPr="00E551AA">
              <w:rPr>
                <w:sz w:val="20"/>
                <w:szCs w:val="20"/>
                <w:lang w:val="en-MY"/>
              </w:rPr>
              <w:t>Oil palm shell-based adsorbent</w:t>
            </w:r>
          </w:p>
        </w:tc>
        <w:tc>
          <w:tcPr>
            <w:tcW w:w="66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5</w:t>
            </w:r>
          </w:p>
        </w:tc>
        <w:tc>
          <w:tcPr>
            <w:tcW w:w="616"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0.168</w:t>
            </w:r>
          </w:p>
        </w:tc>
        <w:tc>
          <w:tcPr>
            <w:tcW w:w="605"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0.001</w:t>
            </w:r>
          </w:p>
        </w:tc>
        <w:tc>
          <w:tcPr>
            <w:tcW w:w="98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0.193</w:t>
            </w:r>
          </w:p>
        </w:tc>
        <w:tc>
          <w:tcPr>
            <w:tcW w:w="808"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0.502</w:t>
            </w:r>
          </w:p>
        </w:tc>
        <w:tc>
          <w:tcPr>
            <w:tcW w:w="1005"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0.502</w:t>
            </w:r>
          </w:p>
        </w:tc>
        <w:tc>
          <w:tcPr>
            <w:tcW w:w="88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0.130</w:t>
            </w:r>
          </w:p>
        </w:tc>
        <w:tc>
          <w:tcPr>
            <w:tcW w:w="573"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0.977</w:t>
            </w:r>
          </w:p>
        </w:tc>
      </w:tr>
      <w:tr w:rsidR="00E551AA" w:rsidRPr="00E551AA" w:rsidTr="00E46827">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10</w:t>
            </w:r>
          </w:p>
        </w:tc>
        <w:tc>
          <w:tcPr>
            <w:tcW w:w="616"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0.519</w:t>
            </w:r>
          </w:p>
        </w:tc>
        <w:tc>
          <w:tcPr>
            <w:tcW w:w="605" w:type="dxa"/>
            <w:vAlign w:val="center"/>
          </w:tcPr>
          <w:p w:rsidR="00E551AA" w:rsidRPr="00E551AA" w:rsidRDefault="00E551AA" w:rsidP="00256E05">
            <w:pPr>
              <w:adjustRightInd w:val="0"/>
              <w:jc w:val="both"/>
              <w:rPr>
                <w:sz w:val="20"/>
                <w:szCs w:val="20"/>
                <w:lang w:val="en-MY"/>
              </w:rPr>
            </w:pPr>
            <w:r w:rsidRPr="00E551AA">
              <w:rPr>
                <w:sz w:val="20"/>
                <w:szCs w:val="20"/>
                <w:lang w:val="en-MY"/>
              </w:rPr>
              <w:t>0.002</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0.924</w:t>
            </w:r>
          </w:p>
        </w:tc>
        <w:tc>
          <w:tcPr>
            <w:tcW w:w="808" w:type="dxa"/>
            <w:vAlign w:val="center"/>
          </w:tcPr>
          <w:p w:rsidR="00E551AA" w:rsidRPr="00E551AA" w:rsidRDefault="00E551AA" w:rsidP="00256E05">
            <w:pPr>
              <w:adjustRightInd w:val="0"/>
              <w:jc w:val="both"/>
              <w:rPr>
                <w:sz w:val="20"/>
                <w:szCs w:val="20"/>
                <w:lang w:val="en-MY"/>
              </w:rPr>
            </w:pPr>
            <w:r w:rsidRPr="00E551AA">
              <w:rPr>
                <w:sz w:val="20"/>
                <w:szCs w:val="20"/>
                <w:lang w:val="en-MY"/>
              </w:rPr>
              <w:t>0.675</w:t>
            </w:r>
          </w:p>
        </w:tc>
        <w:tc>
          <w:tcPr>
            <w:tcW w:w="1005" w:type="dxa"/>
            <w:vAlign w:val="center"/>
          </w:tcPr>
          <w:p w:rsidR="00E551AA" w:rsidRPr="00E551AA" w:rsidRDefault="00E551AA" w:rsidP="00256E05">
            <w:pPr>
              <w:adjustRightInd w:val="0"/>
              <w:jc w:val="both"/>
              <w:rPr>
                <w:sz w:val="20"/>
                <w:szCs w:val="20"/>
                <w:lang w:val="en-MY"/>
              </w:rPr>
            </w:pPr>
            <w:r w:rsidRPr="00E551AA">
              <w:rPr>
                <w:sz w:val="20"/>
                <w:szCs w:val="20"/>
                <w:lang w:val="en-MY"/>
              </w:rPr>
              <w:t>0.675</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0.753</w:t>
            </w:r>
          </w:p>
        </w:tc>
        <w:tc>
          <w:tcPr>
            <w:tcW w:w="573" w:type="dxa"/>
            <w:vAlign w:val="center"/>
          </w:tcPr>
          <w:p w:rsidR="00E551AA" w:rsidRPr="00E551AA" w:rsidRDefault="00E551AA" w:rsidP="00256E05">
            <w:pPr>
              <w:adjustRightInd w:val="0"/>
              <w:jc w:val="both"/>
              <w:rPr>
                <w:sz w:val="20"/>
                <w:szCs w:val="20"/>
                <w:lang w:val="en-MY"/>
              </w:rPr>
            </w:pPr>
            <w:r w:rsidRPr="00E551AA">
              <w:rPr>
                <w:sz w:val="20"/>
                <w:szCs w:val="20"/>
                <w:lang w:val="en-MY"/>
              </w:rPr>
              <w:t>0.951</w:t>
            </w:r>
          </w:p>
        </w:tc>
      </w:tr>
      <w:tr w:rsidR="00E551AA" w:rsidRPr="00E551AA" w:rsidTr="00E46827">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15</w:t>
            </w:r>
          </w:p>
        </w:tc>
        <w:tc>
          <w:tcPr>
            <w:tcW w:w="616"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1.275</w:t>
            </w:r>
          </w:p>
        </w:tc>
        <w:tc>
          <w:tcPr>
            <w:tcW w:w="605" w:type="dxa"/>
            <w:vAlign w:val="center"/>
          </w:tcPr>
          <w:p w:rsidR="00E551AA" w:rsidRPr="00E551AA" w:rsidRDefault="00E551AA" w:rsidP="00256E05">
            <w:pPr>
              <w:adjustRightInd w:val="0"/>
              <w:jc w:val="both"/>
              <w:rPr>
                <w:sz w:val="20"/>
                <w:szCs w:val="20"/>
                <w:lang w:val="en-MY"/>
              </w:rPr>
            </w:pPr>
            <w:r w:rsidRPr="00E551AA">
              <w:rPr>
                <w:sz w:val="20"/>
                <w:szCs w:val="20"/>
                <w:lang w:val="en-MY"/>
              </w:rPr>
              <w:t>0.001</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2.160</w:t>
            </w:r>
          </w:p>
        </w:tc>
        <w:tc>
          <w:tcPr>
            <w:tcW w:w="808" w:type="dxa"/>
            <w:vAlign w:val="center"/>
          </w:tcPr>
          <w:p w:rsidR="00E551AA" w:rsidRPr="00E551AA" w:rsidRDefault="00E551AA" w:rsidP="00256E05">
            <w:pPr>
              <w:adjustRightInd w:val="0"/>
              <w:jc w:val="both"/>
              <w:rPr>
                <w:sz w:val="20"/>
                <w:szCs w:val="20"/>
                <w:lang w:val="en-MY"/>
              </w:rPr>
            </w:pPr>
            <w:r w:rsidRPr="00E551AA">
              <w:rPr>
                <w:sz w:val="20"/>
                <w:szCs w:val="20"/>
                <w:lang w:val="en-MY"/>
              </w:rPr>
              <w:t>0.662</w:t>
            </w:r>
          </w:p>
        </w:tc>
        <w:tc>
          <w:tcPr>
            <w:tcW w:w="1005" w:type="dxa"/>
            <w:vAlign w:val="center"/>
          </w:tcPr>
          <w:p w:rsidR="00E551AA" w:rsidRPr="00E551AA" w:rsidRDefault="00E551AA" w:rsidP="00256E05">
            <w:pPr>
              <w:adjustRightInd w:val="0"/>
              <w:jc w:val="both"/>
              <w:rPr>
                <w:sz w:val="20"/>
                <w:szCs w:val="20"/>
                <w:lang w:val="en-MY"/>
              </w:rPr>
            </w:pPr>
            <w:r w:rsidRPr="00E551AA">
              <w:rPr>
                <w:sz w:val="20"/>
                <w:szCs w:val="20"/>
                <w:lang w:val="en-MY"/>
              </w:rPr>
              <w:t>0.662</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1.188</w:t>
            </w:r>
          </w:p>
        </w:tc>
        <w:tc>
          <w:tcPr>
            <w:tcW w:w="573" w:type="dxa"/>
            <w:vAlign w:val="center"/>
          </w:tcPr>
          <w:p w:rsidR="00E551AA" w:rsidRPr="00E551AA" w:rsidRDefault="00E551AA" w:rsidP="00256E05">
            <w:pPr>
              <w:adjustRightInd w:val="0"/>
              <w:jc w:val="both"/>
              <w:rPr>
                <w:sz w:val="20"/>
                <w:szCs w:val="20"/>
                <w:lang w:val="en-MY"/>
              </w:rPr>
            </w:pPr>
            <w:r w:rsidRPr="00E551AA">
              <w:rPr>
                <w:sz w:val="20"/>
                <w:szCs w:val="20"/>
                <w:lang w:val="en-MY"/>
              </w:rPr>
              <w:t>0.956</w:t>
            </w:r>
          </w:p>
        </w:tc>
      </w:tr>
      <w:tr w:rsidR="00E551AA" w:rsidRPr="00E551AA" w:rsidTr="00E46827">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20</w:t>
            </w:r>
          </w:p>
        </w:tc>
        <w:tc>
          <w:tcPr>
            <w:tcW w:w="616"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2.101</w:t>
            </w:r>
          </w:p>
        </w:tc>
        <w:tc>
          <w:tcPr>
            <w:tcW w:w="605" w:type="dxa"/>
            <w:vAlign w:val="center"/>
          </w:tcPr>
          <w:p w:rsidR="00E551AA" w:rsidRPr="00E551AA" w:rsidRDefault="00E551AA" w:rsidP="00256E05">
            <w:pPr>
              <w:adjustRightInd w:val="0"/>
              <w:jc w:val="both"/>
              <w:rPr>
                <w:sz w:val="20"/>
                <w:szCs w:val="20"/>
                <w:lang w:val="en-MY"/>
              </w:rPr>
            </w:pPr>
            <w:r w:rsidRPr="00E551AA">
              <w:rPr>
                <w:sz w:val="20"/>
                <w:szCs w:val="20"/>
                <w:lang w:val="en-MY"/>
              </w:rPr>
              <w:t>0.002</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2.269</w:t>
            </w:r>
          </w:p>
        </w:tc>
        <w:tc>
          <w:tcPr>
            <w:tcW w:w="808" w:type="dxa"/>
            <w:vAlign w:val="center"/>
          </w:tcPr>
          <w:p w:rsidR="00E551AA" w:rsidRPr="00E551AA" w:rsidRDefault="00E551AA" w:rsidP="00256E05">
            <w:pPr>
              <w:adjustRightInd w:val="0"/>
              <w:jc w:val="both"/>
              <w:rPr>
                <w:sz w:val="20"/>
                <w:szCs w:val="20"/>
                <w:lang w:val="en-MY"/>
              </w:rPr>
            </w:pPr>
            <w:r w:rsidRPr="00E551AA">
              <w:rPr>
                <w:sz w:val="20"/>
                <w:szCs w:val="20"/>
                <w:lang w:val="en-MY"/>
              </w:rPr>
              <w:t>0.508</w:t>
            </w:r>
          </w:p>
        </w:tc>
        <w:tc>
          <w:tcPr>
            <w:tcW w:w="1005" w:type="dxa"/>
            <w:vAlign w:val="center"/>
          </w:tcPr>
          <w:p w:rsidR="00E551AA" w:rsidRPr="00E551AA" w:rsidRDefault="00E551AA" w:rsidP="00256E05">
            <w:pPr>
              <w:adjustRightInd w:val="0"/>
              <w:jc w:val="both"/>
              <w:rPr>
                <w:sz w:val="20"/>
                <w:szCs w:val="20"/>
                <w:lang w:val="en-MY"/>
              </w:rPr>
            </w:pPr>
            <w:r w:rsidRPr="00E551AA">
              <w:rPr>
                <w:sz w:val="20"/>
                <w:szCs w:val="20"/>
                <w:lang w:val="en-MY"/>
              </w:rPr>
              <w:t>0.508</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2.005</w:t>
            </w:r>
          </w:p>
        </w:tc>
        <w:tc>
          <w:tcPr>
            <w:tcW w:w="573" w:type="dxa"/>
            <w:vAlign w:val="center"/>
          </w:tcPr>
          <w:p w:rsidR="00E551AA" w:rsidRPr="00E551AA" w:rsidRDefault="00E551AA" w:rsidP="00256E05">
            <w:pPr>
              <w:adjustRightInd w:val="0"/>
              <w:jc w:val="both"/>
              <w:rPr>
                <w:sz w:val="20"/>
                <w:szCs w:val="20"/>
                <w:lang w:val="en-MY"/>
              </w:rPr>
            </w:pPr>
            <w:r w:rsidRPr="00E551AA">
              <w:rPr>
                <w:sz w:val="20"/>
                <w:szCs w:val="20"/>
                <w:lang w:val="en-MY"/>
              </w:rPr>
              <w:t>0.980</w:t>
            </w:r>
          </w:p>
        </w:tc>
      </w:tr>
      <w:tr w:rsidR="00E551AA" w:rsidRPr="00E551AA" w:rsidTr="00E46827">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25</w:t>
            </w:r>
          </w:p>
        </w:tc>
        <w:tc>
          <w:tcPr>
            <w:tcW w:w="616"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2.874</w:t>
            </w:r>
          </w:p>
        </w:tc>
        <w:tc>
          <w:tcPr>
            <w:tcW w:w="605" w:type="dxa"/>
            <w:vAlign w:val="center"/>
          </w:tcPr>
          <w:p w:rsidR="00E551AA" w:rsidRPr="00E551AA" w:rsidRDefault="00E551AA" w:rsidP="00256E05">
            <w:pPr>
              <w:adjustRightInd w:val="0"/>
              <w:jc w:val="both"/>
              <w:rPr>
                <w:sz w:val="20"/>
                <w:szCs w:val="20"/>
                <w:lang w:val="en-MY"/>
              </w:rPr>
            </w:pPr>
            <w:r w:rsidRPr="00E551AA">
              <w:rPr>
                <w:sz w:val="20"/>
                <w:szCs w:val="20"/>
                <w:lang w:val="en-MY"/>
              </w:rPr>
              <w:t>0.001</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2.326</w:t>
            </w:r>
          </w:p>
        </w:tc>
        <w:tc>
          <w:tcPr>
            <w:tcW w:w="808" w:type="dxa"/>
            <w:vAlign w:val="center"/>
          </w:tcPr>
          <w:p w:rsidR="00E551AA" w:rsidRPr="00E551AA" w:rsidRDefault="00E551AA" w:rsidP="00256E05">
            <w:pPr>
              <w:adjustRightInd w:val="0"/>
              <w:jc w:val="both"/>
              <w:rPr>
                <w:sz w:val="20"/>
                <w:szCs w:val="20"/>
                <w:lang w:val="en-MY"/>
              </w:rPr>
            </w:pPr>
            <w:r w:rsidRPr="00E551AA">
              <w:rPr>
                <w:sz w:val="20"/>
                <w:szCs w:val="20"/>
                <w:lang w:val="en-MY"/>
              </w:rPr>
              <w:t>0.650</w:t>
            </w:r>
          </w:p>
        </w:tc>
        <w:tc>
          <w:tcPr>
            <w:tcW w:w="1005" w:type="dxa"/>
            <w:vAlign w:val="center"/>
          </w:tcPr>
          <w:p w:rsidR="00E551AA" w:rsidRPr="00E551AA" w:rsidRDefault="00E551AA" w:rsidP="00256E05">
            <w:pPr>
              <w:adjustRightInd w:val="0"/>
              <w:jc w:val="both"/>
              <w:rPr>
                <w:sz w:val="20"/>
                <w:szCs w:val="20"/>
                <w:lang w:val="en-MY"/>
              </w:rPr>
            </w:pPr>
            <w:r w:rsidRPr="00E551AA">
              <w:rPr>
                <w:sz w:val="20"/>
                <w:szCs w:val="20"/>
                <w:lang w:val="en-MY"/>
              </w:rPr>
              <w:t>0.650</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2.697</w:t>
            </w:r>
          </w:p>
        </w:tc>
        <w:tc>
          <w:tcPr>
            <w:tcW w:w="573" w:type="dxa"/>
            <w:vAlign w:val="center"/>
          </w:tcPr>
          <w:p w:rsidR="00E551AA" w:rsidRPr="00E551AA" w:rsidRDefault="00E551AA" w:rsidP="00256E05">
            <w:pPr>
              <w:adjustRightInd w:val="0"/>
              <w:jc w:val="both"/>
              <w:rPr>
                <w:sz w:val="20"/>
                <w:szCs w:val="20"/>
                <w:lang w:val="en-MY"/>
              </w:rPr>
            </w:pPr>
            <w:r w:rsidRPr="00E551AA">
              <w:rPr>
                <w:sz w:val="20"/>
                <w:szCs w:val="20"/>
                <w:lang w:val="en-MY"/>
              </w:rPr>
              <w:t>0.995</w:t>
            </w:r>
          </w:p>
        </w:tc>
      </w:tr>
      <w:tr w:rsidR="00E551AA" w:rsidRPr="00E551AA" w:rsidTr="00E46827">
        <w:trPr>
          <w:jc w:val="center"/>
        </w:trPr>
        <w:tc>
          <w:tcPr>
            <w:tcW w:w="1056" w:type="dxa"/>
            <w:vMerge/>
            <w:tcBorders>
              <w:bottom w:val="single" w:sz="4" w:space="0" w:color="auto"/>
            </w:tcBorders>
            <w:vAlign w:val="center"/>
          </w:tcPr>
          <w:p w:rsidR="00E551AA" w:rsidRPr="00E551AA" w:rsidRDefault="00E551AA" w:rsidP="00256E05">
            <w:pPr>
              <w:adjustRightInd w:val="0"/>
              <w:rPr>
                <w:sz w:val="20"/>
                <w:szCs w:val="20"/>
                <w:lang w:val="en-MY"/>
              </w:rPr>
            </w:pPr>
          </w:p>
        </w:tc>
        <w:tc>
          <w:tcPr>
            <w:tcW w:w="66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30</w:t>
            </w:r>
          </w:p>
        </w:tc>
        <w:tc>
          <w:tcPr>
            <w:tcW w:w="616"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3.378</w:t>
            </w:r>
          </w:p>
        </w:tc>
        <w:tc>
          <w:tcPr>
            <w:tcW w:w="605"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0.001</w:t>
            </w:r>
          </w:p>
        </w:tc>
        <w:tc>
          <w:tcPr>
            <w:tcW w:w="98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3.468</w:t>
            </w:r>
          </w:p>
        </w:tc>
        <w:tc>
          <w:tcPr>
            <w:tcW w:w="808"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0.708</w:t>
            </w:r>
          </w:p>
        </w:tc>
        <w:tc>
          <w:tcPr>
            <w:tcW w:w="1005"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0.708</w:t>
            </w:r>
          </w:p>
        </w:tc>
        <w:tc>
          <w:tcPr>
            <w:tcW w:w="88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3.396</w:t>
            </w:r>
          </w:p>
        </w:tc>
        <w:tc>
          <w:tcPr>
            <w:tcW w:w="573"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0.999</w:t>
            </w:r>
          </w:p>
        </w:tc>
      </w:tr>
      <w:tr w:rsidR="00E551AA" w:rsidRPr="00E551AA" w:rsidTr="00E46827">
        <w:tblPrEx>
          <w:tblCellMar>
            <w:left w:w="108" w:type="dxa"/>
            <w:right w:w="108" w:type="dxa"/>
          </w:tblCellMar>
        </w:tblPrEx>
        <w:trPr>
          <w:jc w:val="center"/>
        </w:trPr>
        <w:tc>
          <w:tcPr>
            <w:tcW w:w="1056" w:type="dxa"/>
            <w:vMerge w:val="restart"/>
            <w:tcBorders>
              <w:top w:val="single" w:sz="4" w:space="0" w:color="auto"/>
            </w:tcBorders>
            <w:vAlign w:val="center"/>
          </w:tcPr>
          <w:p w:rsidR="00E551AA" w:rsidRPr="00E551AA" w:rsidRDefault="00E551AA" w:rsidP="00256E05">
            <w:pPr>
              <w:adjustRightInd w:val="0"/>
              <w:ind w:left="-116"/>
              <w:rPr>
                <w:sz w:val="20"/>
                <w:szCs w:val="20"/>
                <w:lang w:val="en-MY"/>
              </w:rPr>
            </w:pPr>
            <w:r w:rsidRPr="00E551AA">
              <w:rPr>
                <w:sz w:val="20"/>
                <w:szCs w:val="20"/>
                <w:lang w:val="en-MY"/>
              </w:rPr>
              <w:t>Activated carbon</w:t>
            </w:r>
          </w:p>
        </w:tc>
        <w:tc>
          <w:tcPr>
            <w:tcW w:w="66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5</w:t>
            </w:r>
          </w:p>
        </w:tc>
        <w:tc>
          <w:tcPr>
            <w:tcW w:w="616"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5.209</w:t>
            </w:r>
          </w:p>
        </w:tc>
        <w:tc>
          <w:tcPr>
            <w:tcW w:w="605" w:type="dxa"/>
            <w:tcBorders>
              <w:top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0.005</w:t>
            </w:r>
          </w:p>
        </w:tc>
        <w:tc>
          <w:tcPr>
            <w:tcW w:w="98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 xml:space="preserve">  5.618</w:t>
            </w:r>
          </w:p>
        </w:tc>
        <w:tc>
          <w:tcPr>
            <w:tcW w:w="808" w:type="dxa"/>
            <w:tcBorders>
              <w:top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0.992</w:t>
            </w:r>
          </w:p>
        </w:tc>
        <w:tc>
          <w:tcPr>
            <w:tcW w:w="1005" w:type="dxa"/>
            <w:tcBorders>
              <w:top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2.037x10</w:t>
            </w:r>
            <w:r w:rsidRPr="00E551AA">
              <w:rPr>
                <w:sz w:val="20"/>
                <w:szCs w:val="20"/>
                <w:vertAlign w:val="superscript"/>
                <w:lang w:val="en-MY"/>
              </w:rPr>
              <w:t>-4</w:t>
            </w:r>
          </w:p>
        </w:tc>
        <w:tc>
          <w:tcPr>
            <w:tcW w:w="880" w:type="dxa"/>
            <w:tcBorders>
              <w:top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11.364</w:t>
            </w:r>
          </w:p>
        </w:tc>
        <w:tc>
          <w:tcPr>
            <w:tcW w:w="573" w:type="dxa"/>
            <w:tcBorders>
              <w:top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0.787</w:t>
            </w:r>
          </w:p>
        </w:tc>
      </w:tr>
      <w:tr w:rsidR="00E551AA" w:rsidRPr="00E551AA" w:rsidTr="00E46827">
        <w:tblPrEx>
          <w:tblCellMar>
            <w:left w:w="108" w:type="dxa"/>
            <w:right w:w="108" w:type="dxa"/>
          </w:tblCellMar>
        </w:tblPrEx>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10</w:t>
            </w:r>
          </w:p>
        </w:tc>
        <w:tc>
          <w:tcPr>
            <w:tcW w:w="616"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10.027</w:t>
            </w:r>
          </w:p>
        </w:tc>
        <w:tc>
          <w:tcPr>
            <w:tcW w:w="6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0.005</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10.740</w:t>
            </w:r>
          </w:p>
        </w:tc>
        <w:tc>
          <w:tcPr>
            <w:tcW w:w="808"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0.992</w:t>
            </w:r>
          </w:p>
        </w:tc>
        <w:tc>
          <w:tcPr>
            <w:tcW w:w="10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0.837x10</w:t>
            </w:r>
            <w:r w:rsidRPr="00E551AA">
              <w:rPr>
                <w:sz w:val="20"/>
                <w:szCs w:val="20"/>
                <w:vertAlign w:val="superscript"/>
                <w:lang w:val="en-MY"/>
              </w:rPr>
              <w:t>-4</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24.390</w:t>
            </w:r>
          </w:p>
        </w:tc>
        <w:tc>
          <w:tcPr>
            <w:tcW w:w="573"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0.794</w:t>
            </w:r>
          </w:p>
        </w:tc>
      </w:tr>
      <w:tr w:rsidR="00E551AA" w:rsidRPr="00E551AA" w:rsidTr="00E46827">
        <w:tblPrEx>
          <w:tblCellMar>
            <w:left w:w="108" w:type="dxa"/>
            <w:right w:w="108" w:type="dxa"/>
          </w:tblCellMar>
        </w:tblPrEx>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15</w:t>
            </w:r>
          </w:p>
        </w:tc>
        <w:tc>
          <w:tcPr>
            <w:tcW w:w="616"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14.777</w:t>
            </w:r>
          </w:p>
        </w:tc>
        <w:tc>
          <w:tcPr>
            <w:tcW w:w="6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0.004</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14.397</w:t>
            </w:r>
          </w:p>
        </w:tc>
        <w:tc>
          <w:tcPr>
            <w:tcW w:w="808"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0.996</w:t>
            </w:r>
          </w:p>
        </w:tc>
        <w:tc>
          <w:tcPr>
            <w:tcW w:w="10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3.831x10</w:t>
            </w:r>
            <w:r w:rsidRPr="00E551AA">
              <w:rPr>
                <w:sz w:val="20"/>
                <w:szCs w:val="20"/>
                <w:vertAlign w:val="superscript"/>
                <w:lang w:val="en-MY"/>
              </w:rPr>
              <w:t>-4</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16.667</w:t>
            </w:r>
          </w:p>
        </w:tc>
        <w:tc>
          <w:tcPr>
            <w:tcW w:w="573"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0.917</w:t>
            </w:r>
          </w:p>
        </w:tc>
      </w:tr>
      <w:tr w:rsidR="00E551AA" w:rsidRPr="00E551AA" w:rsidTr="00E46827">
        <w:tblPrEx>
          <w:tblCellMar>
            <w:left w:w="108" w:type="dxa"/>
            <w:right w:w="108" w:type="dxa"/>
          </w:tblCellMar>
        </w:tblPrEx>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20</w:t>
            </w:r>
          </w:p>
        </w:tc>
        <w:tc>
          <w:tcPr>
            <w:tcW w:w="616"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18.385</w:t>
            </w:r>
          </w:p>
        </w:tc>
        <w:tc>
          <w:tcPr>
            <w:tcW w:w="6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0.004</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19.240</w:t>
            </w:r>
          </w:p>
        </w:tc>
        <w:tc>
          <w:tcPr>
            <w:tcW w:w="808"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0.995</w:t>
            </w:r>
          </w:p>
        </w:tc>
        <w:tc>
          <w:tcPr>
            <w:tcW w:w="10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0.563x10</w:t>
            </w:r>
            <w:r w:rsidRPr="00E551AA">
              <w:rPr>
                <w:sz w:val="20"/>
                <w:szCs w:val="20"/>
                <w:vertAlign w:val="superscript"/>
                <w:lang w:val="en-MY"/>
              </w:rPr>
              <w:t>-4</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37.037</w:t>
            </w:r>
          </w:p>
        </w:tc>
        <w:tc>
          <w:tcPr>
            <w:tcW w:w="573"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0.937</w:t>
            </w:r>
          </w:p>
        </w:tc>
      </w:tr>
      <w:tr w:rsidR="00E551AA" w:rsidRPr="00E551AA" w:rsidTr="00E46827">
        <w:tblPrEx>
          <w:tblCellMar>
            <w:left w:w="108" w:type="dxa"/>
            <w:right w:w="108" w:type="dxa"/>
          </w:tblCellMar>
        </w:tblPrEx>
        <w:trPr>
          <w:jc w:val="center"/>
        </w:trPr>
        <w:tc>
          <w:tcPr>
            <w:tcW w:w="1056" w:type="dxa"/>
            <w:vMerge/>
            <w:vAlign w:val="center"/>
          </w:tcPr>
          <w:p w:rsidR="00E551AA" w:rsidRPr="00E551AA" w:rsidRDefault="00E551AA" w:rsidP="00256E05">
            <w:pPr>
              <w:adjustRightInd w:val="0"/>
              <w:rPr>
                <w:sz w:val="20"/>
                <w:szCs w:val="20"/>
                <w:lang w:val="en-MY"/>
              </w:rPr>
            </w:pPr>
          </w:p>
        </w:tc>
        <w:tc>
          <w:tcPr>
            <w:tcW w:w="660" w:type="dxa"/>
            <w:vAlign w:val="center"/>
          </w:tcPr>
          <w:p w:rsidR="00E551AA" w:rsidRPr="00E551AA" w:rsidRDefault="00E551AA" w:rsidP="00256E05">
            <w:pPr>
              <w:adjustRightInd w:val="0"/>
              <w:jc w:val="both"/>
              <w:rPr>
                <w:sz w:val="20"/>
                <w:szCs w:val="20"/>
                <w:lang w:val="en-MY"/>
              </w:rPr>
            </w:pPr>
            <w:r w:rsidRPr="00E551AA">
              <w:rPr>
                <w:sz w:val="20"/>
                <w:szCs w:val="20"/>
                <w:lang w:val="en-MY"/>
              </w:rPr>
              <w:t>25</w:t>
            </w:r>
          </w:p>
        </w:tc>
        <w:tc>
          <w:tcPr>
            <w:tcW w:w="616"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24.101</w:t>
            </w:r>
          </w:p>
        </w:tc>
        <w:tc>
          <w:tcPr>
            <w:tcW w:w="6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0.004</w:t>
            </w:r>
          </w:p>
        </w:tc>
        <w:tc>
          <w:tcPr>
            <w:tcW w:w="980" w:type="dxa"/>
            <w:vAlign w:val="center"/>
          </w:tcPr>
          <w:p w:rsidR="00E551AA" w:rsidRPr="00E551AA" w:rsidRDefault="00E551AA" w:rsidP="00256E05">
            <w:pPr>
              <w:adjustRightInd w:val="0"/>
              <w:jc w:val="both"/>
              <w:rPr>
                <w:sz w:val="20"/>
                <w:szCs w:val="20"/>
                <w:lang w:val="en-MY"/>
              </w:rPr>
            </w:pPr>
            <w:r w:rsidRPr="00E551AA">
              <w:rPr>
                <w:sz w:val="20"/>
                <w:szCs w:val="20"/>
                <w:lang w:val="en-MY"/>
              </w:rPr>
              <w:t>24.484</w:t>
            </w:r>
          </w:p>
        </w:tc>
        <w:tc>
          <w:tcPr>
            <w:tcW w:w="808"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0.992</w:t>
            </w:r>
          </w:p>
        </w:tc>
        <w:tc>
          <w:tcPr>
            <w:tcW w:w="1005"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1.477x10</w:t>
            </w:r>
            <w:r w:rsidRPr="00E551AA">
              <w:rPr>
                <w:sz w:val="20"/>
                <w:szCs w:val="20"/>
                <w:vertAlign w:val="superscript"/>
                <w:lang w:val="en-MY"/>
              </w:rPr>
              <w:t>-4</w:t>
            </w:r>
          </w:p>
        </w:tc>
        <w:tc>
          <w:tcPr>
            <w:tcW w:w="880" w:type="dxa"/>
            <w:vAlign w:val="center"/>
          </w:tcPr>
          <w:p w:rsidR="00E551AA" w:rsidRPr="00E551AA" w:rsidRDefault="00E551AA" w:rsidP="00256E05">
            <w:pPr>
              <w:adjustRightInd w:val="0"/>
              <w:jc w:val="both"/>
              <w:rPr>
                <w:sz w:val="20"/>
                <w:szCs w:val="20"/>
                <w:lang w:val="en-MY"/>
              </w:rPr>
            </w:pPr>
            <w:r w:rsidRPr="00E551AA">
              <w:rPr>
                <w:sz w:val="20"/>
                <w:szCs w:val="20"/>
                <w:lang w:val="en-MY"/>
              </w:rPr>
              <w:t>27.027</w:t>
            </w:r>
          </w:p>
        </w:tc>
        <w:tc>
          <w:tcPr>
            <w:tcW w:w="573" w:type="dxa"/>
            <w:vAlign w:val="center"/>
          </w:tcPr>
          <w:p w:rsidR="00E551AA" w:rsidRPr="00E551AA" w:rsidRDefault="00E551AA" w:rsidP="00256E05">
            <w:pPr>
              <w:adjustRightInd w:val="0"/>
              <w:ind w:left="-93"/>
              <w:jc w:val="both"/>
              <w:rPr>
                <w:sz w:val="20"/>
                <w:szCs w:val="20"/>
                <w:lang w:val="en-MY"/>
              </w:rPr>
            </w:pPr>
            <w:r w:rsidRPr="00E551AA">
              <w:rPr>
                <w:sz w:val="20"/>
                <w:szCs w:val="20"/>
                <w:lang w:val="en-MY"/>
              </w:rPr>
              <w:t>0.748</w:t>
            </w:r>
          </w:p>
        </w:tc>
      </w:tr>
      <w:tr w:rsidR="00E551AA" w:rsidRPr="00E551AA" w:rsidTr="00E46827">
        <w:tblPrEx>
          <w:tblCellMar>
            <w:left w:w="108" w:type="dxa"/>
            <w:right w:w="108" w:type="dxa"/>
          </w:tblCellMar>
        </w:tblPrEx>
        <w:trPr>
          <w:jc w:val="center"/>
        </w:trPr>
        <w:tc>
          <w:tcPr>
            <w:tcW w:w="1056" w:type="dxa"/>
            <w:vMerge/>
            <w:tcBorders>
              <w:bottom w:val="single" w:sz="4" w:space="0" w:color="auto"/>
            </w:tcBorders>
            <w:vAlign w:val="center"/>
          </w:tcPr>
          <w:p w:rsidR="00E551AA" w:rsidRPr="00E551AA" w:rsidRDefault="00E551AA" w:rsidP="00256E05">
            <w:pPr>
              <w:adjustRightInd w:val="0"/>
              <w:rPr>
                <w:sz w:val="20"/>
                <w:szCs w:val="20"/>
                <w:lang w:val="en-MY"/>
              </w:rPr>
            </w:pPr>
          </w:p>
        </w:tc>
        <w:tc>
          <w:tcPr>
            <w:tcW w:w="66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30</w:t>
            </w:r>
          </w:p>
        </w:tc>
        <w:tc>
          <w:tcPr>
            <w:tcW w:w="616" w:type="dxa"/>
            <w:tcBorders>
              <w:bottom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29.696</w:t>
            </w:r>
          </w:p>
        </w:tc>
        <w:tc>
          <w:tcPr>
            <w:tcW w:w="605" w:type="dxa"/>
            <w:tcBorders>
              <w:bottom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0.003</w:t>
            </w:r>
          </w:p>
        </w:tc>
        <w:tc>
          <w:tcPr>
            <w:tcW w:w="98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28.078</w:t>
            </w:r>
          </w:p>
        </w:tc>
        <w:tc>
          <w:tcPr>
            <w:tcW w:w="808" w:type="dxa"/>
            <w:tcBorders>
              <w:bottom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0.996</w:t>
            </w:r>
          </w:p>
        </w:tc>
        <w:tc>
          <w:tcPr>
            <w:tcW w:w="1005" w:type="dxa"/>
            <w:tcBorders>
              <w:bottom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2.987x10</w:t>
            </w:r>
            <w:r w:rsidRPr="00E551AA">
              <w:rPr>
                <w:sz w:val="20"/>
                <w:szCs w:val="20"/>
                <w:vertAlign w:val="superscript"/>
                <w:lang w:val="en-MY"/>
              </w:rPr>
              <w:t>-4</w:t>
            </w:r>
          </w:p>
        </w:tc>
        <w:tc>
          <w:tcPr>
            <w:tcW w:w="880" w:type="dxa"/>
            <w:tcBorders>
              <w:bottom w:val="single" w:sz="4" w:space="0" w:color="auto"/>
            </w:tcBorders>
            <w:vAlign w:val="center"/>
          </w:tcPr>
          <w:p w:rsidR="00E551AA" w:rsidRPr="00E551AA" w:rsidRDefault="00E551AA" w:rsidP="00256E05">
            <w:pPr>
              <w:adjustRightInd w:val="0"/>
              <w:jc w:val="both"/>
              <w:rPr>
                <w:sz w:val="20"/>
                <w:szCs w:val="20"/>
                <w:lang w:val="en-MY"/>
              </w:rPr>
            </w:pPr>
            <w:r w:rsidRPr="00E551AA">
              <w:rPr>
                <w:sz w:val="20"/>
                <w:szCs w:val="20"/>
                <w:lang w:val="en-MY"/>
              </w:rPr>
              <w:t>27.027</w:t>
            </w:r>
          </w:p>
        </w:tc>
        <w:tc>
          <w:tcPr>
            <w:tcW w:w="573" w:type="dxa"/>
            <w:tcBorders>
              <w:bottom w:val="single" w:sz="4" w:space="0" w:color="auto"/>
            </w:tcBorders>
            <w:vAlign w:val="center"/>
          </w:tcPr>
          <w:p w:rsidR="00E551AA" w:rsidRPr="00E551AA" w:rsidRDefault="00E551AA" w:rsidP="00256E05">
            <w:pPr>
              <w:adjustRightInd w:val="0"/>
              <w:ind w:left="-93"/>
              <w:jc w:val="both"/>
              <w:rPr>
                <w:sz w:val="20"/>
                <w:szCs w:val="20"/>
                <w:lang w:val="en-MY"/>
              </w:rPr>
            </w:pPr>
            <w:r w:rsidRPr="00E551AA">
              <w:rPr>
                <w:sz w:val="20"/>
                <w:szCs w:val="20"/>
                <w:lang w:val="en-MY"/>
              </w:rPr>
              <w:t>0.892</w:t>
            </w:r>
          </w:p>
        </w:tc>
      </w:tr>
    </w:tbl>
    <w:p w:rsidR="00E551AA" w:rsidRPr="00F87E64" w:rsidRDefault="00E551AA" w:rsidP="00256E05">
      <w:pPr>
        <w:pStyle w:val="ae"/>
        <w:ind w:left="426"/>
        <w:rPr>
          <w:b/>
        </w:rPr>
      </w:pPr>
    </w:p>
    <w:p w:rsidR="009E0468" w:rsidRDefault="009E0468" w:rsidP="00256E05">
      <w:pPr>
        <w:autoSpaceDE w:val="0"/>
        <w:autoSpaceDN w:val="0"/>
        <w:adjustRightInd w:val="0"/>
        <w:jc w:val="both"/>
        <w:rPr>
          <w:sz w:val="20"/>
          <w:szCs w:val="20"/>
        </w:rPr>
      </w:pPr>
    </w:p>
    <w:p w:rsidR="00256E05" w:rsidRPr="00E551AA" w:rsidRDefault="00256E05" w:rsidP="00256E05">
      <w:pPr>
        <w:autoSpaceDE w:val="0"/>
        <w:autoSpaceDN w:val="0"/>
        <w:adjustRightInd w:val="0"/>
        <w:jc w:val="both"/>
        <w:rPr>
          <w:sz w:val="20"/>
          <w:szCs w:val="20"/>
        </w:rPr>
      </w:pPr>
    </w:p>
    <w:p w:rsidR="002F516F" w:rsidRPr="00584256" w:rsidRDefault="007660FC" w:rsidP="00256E05">
      <w:pPr>
        <w:rPr>
          <w:b/>
          <w:bCs/>
          <w:sz w:val="22"/>
          <w:szCs w:val="22"/>
        </w:rPr>
      </w:pPr>
      <w:r w:rsidRPr="00584256">
        <w:rPr>
          <w:b/>
          <w:bCs/>
          <w:sz w:val="22"/>
          <w:szCs w:val="22"/>
        </w:rPr>
        <w:t xml:space="preserve">4.0  </w:t>
      </w:r>
      <w:r w:rsidR="00256E05">
        <w:rPr>
          <w:b/>
          <w:bCs/>
          <w:sz w:val="22"/>
          <w:szCs w:val="22"/>
        </w:rPr>
        <w:tab/>
      </w:r>
      <w:r w:rsidRPr="00584256">
        <w:rPr>
          <w:b/>
          <w:bCs/>
          <w:sz w:val="22"/>
          <w:szCs w:val="22"/>
        </w:rPr>
        <w:t>Conclusions</w:t>
      </w:r>
    </w:p>
    <w:p w:rsidR="00D74CAC" w:rsidRPr="00584256" w:rsidRDefault="00D74CAC" w:rsidP="00256E05">
      <w:pPr>
        <w:pStyle w:val="Left"/>
        <w:rPr>
          <w:sz w:val="22"/>
          <w:szCs w:val="22"/>
        </w:rPr>
      </w:pPr>
    </w:p>
    <w:p w:rsidR="00F73B8A" w:rsidRDefault="000E7C45" w:rsidP="00256E05">
      <w:pPr>
        <w:pStyle w:val="Left"/>
        <w:tabs>
          <w:tab w:val="left" w:pos="426"/>
        </w:tabs>
        <w:jc w:val="both"/>
        <w:rPr>
          <w:b/>
          <w:bCs/>
          <w:sz w:val="22"/>
          <w:szCs w:val="22"/>
        </w:rPr>
      </w:pPr>
      <w:r w:rsidRPr="000E7C45">
        <w:rPr>
          <w:sz w:val="22"/>
          <w:szCs w:val="22"/>
        </w:rPr>
        <w:t>The present study showed that oil palm shell could be used as a potential precursor for the preparation of low cost adsorbent for removal of atrazine from aqueous solutions. SEM micrographs illustrated that chemical treatment with H</w:t>
      </w:r>
      <w:r w:rsidRPr="00F73D50">
        <w:rPr>
          <w:sz w:val="22"/>
          <w:szCs w:val="22"/>
          <w:vertAlign w:val="subscript"/>
        </w:rPr>
        <w:t>2</w:t>
      </w:r>
      <w:r w:rsidRPr="000E7C45">
        <w:rPr>
          <w:sz w:val="22"/>
          <w:szCs w:val="22"/>
        </w:rPr>
        <w:t>SO</w:t>
      </w:r>
      <w:r w:rsidRPr="00F73D50">
        <w:rPr>
          <w:sz w:val="22"/>
          <w:szCs w:val="22"/>
          <w:vertAlign w:val="subscript"/>
        </w:rPr>
        <w:t>4</w:t>
      </w:r>
      <w:r w:rsidRPr="000E7C45">
        <w:rPr>
          <w:sz w:val="22"/>
          <w:szCs w:val="22"/>
        </w:rPr>
        <w:t xml:space="preserve"> developed porosity on the surface of the adsorbent. The FTIR spectrum obtained for the adsorbent before and after the treatment was almost similar. Over the range of initial concentrations studied, the time for the adsorption of atrazine on the oil palm shell-based adsorbent to attain equilibrium ranged from 150 to 240 min. The adsorption uptake increased with increasing in initial atrazine concentration, with maximum atrazine uptake of 3.86 mg/g at concentration of 30 mg/L. The removal percentage of atrazine increased from 9.35 to 14.34 % with increasing adsorbent dosage from 0.20 to 1.20 g. The removal percentage of atrazine showed a decreasing trend from 12.79 to 1.41 % as the solution pH increased from 2 to 12. The negative values of Langmuir constants indicated that the Langmuir isotherm model was inadequate to describe the adsorption process. The adsorption equilibrium was well described by the </w:t>
      </w:r>
      <w:proofErr w:type="spellStart"/>
      <w:r w:rsidRPr="000E7C45">
        <w:rPr>
          <w:sz w:val="22"/>
          <w:szCs w:val="22"/>
        </w:rPr>
        <w:t>Freundlich</w:t>
      </w:r>
      <w:proofErr w:type="spellEnd"/>
      <w:r w:rsidRPr="000E7C45">
        <w:rPr>
          <w:sz w:val="22"/>
          <w:szCs w:val="22"/>
        </w:rPr>
        <w:t xml:space="preserve"> isotherm model, with correlation coefficient R</w:t>
      </w:r>
      <w:r w:rsidRPr="00633F9B">
        <w:rPr>
          <w:sz w:val="22"/>
          <w:szCs w:val="22"/>
          <w:vertAlign w:val="superscript"/>
        </w:rPr>
        <w:t>2</w:t>
      </w:r>
      <w:r w:rsidRPr="000E7C45">
        <w:rPr>
          <w:sz w:val="22"/>
          <w:szCs w:val="22"/>
        </w:rPr>
        <w:t xml:space="preserve"> of 0.995, giving adsorption capacity K</w:t>
      </w:r>
      <w:r w:rsidRPr="00F73D50">
        <w:rPr>
          <w:sz w:val="22"/>
          <w:szCs w:val="22"/>
          <w:vertAlign w:val="subscript"/>
        </w:rPr>
        <w:t>F</w:t>
      </w:r>
      <w:r w:rsidRPr="000E7C45">
        <w:rPr>
          <w:sz w:val="22"/>
          <w:szCs w:val="22"/>
        </w:rPr>
        <w:t xml:space="preserve"> of 0.007 (mg/g</w:t>
      </w:r>
      <w:proofErr w:type="gramStart"/>
      <w:r w:rsidRPr="000E7C45">
        <w:rPr>
          <w:sz w:val="22"/>
          <w:szCs w:val="22"/>
        </w:rPr>
        <w:t>)(</w:t>
      </w:r>
      <w:proofErr w:type="gramEnd"/>
      <w:r w:rsidRPr="000E7C45">
        <w:rPr>
          <w:sz w:val="22"/>
          <w:szCs w:val="22"/>
        </w:rPr>
        <w:t>L/mg)</w:t>
      </w:r>
      <w:r w:rsidRPr="00633F9B">
        <w:rPr>
          <w:sz w:val="22"/>
          <w:szCs w:val="22"/>
          <w:vertAlign w:val="superscript"/>
        </w:rPr>
        <w:t>1/n</w:t>
      </w:r>
      <w:r w:rsidRPr="000E7C45">
        <w:rPr>
          <w:sz w:val="22"/>
          <w:szCs w:val="22"/>
        </w:rPr>
        <w:t xml:space="preserve"> at 30 </w:t>
      </w:r>
      <w:proofErr w:type="spellStart"/>
      <w:r w:rsidRPr="00633F9B">
        <w:rPr>
          <w:sz w:val="22"/>
          <w:szCs w:val="22"/>
          <w:vertAlign w:val="superscript"/>
        </w:rPr>
        <w:t>o</w:t>
      </w:r>
      <w:r w:rsidRPr="000E7C45">
        <w:rPr>
          <w:sz w:val="22"/>
          <w:szCs w:val="22"/>
        </w:rPr>
        <w:t>C.</w:t>
      </w:r>
      <w:proofErr w:type="spellEnd"/>
      <w:r w:rsidRPr="000E7C45">
        <w:rPr>
          <w:sz w:val="22"/>
          <w:szCs w:val="22"/>
        </w:rPr>
        <w:t xml:space="preserve"> It was found that the adsorption kinetics followed the pseudo-second-order kinetic model. The experimental results revealed that the oil palm shell-based adsorbent developed could be employed as an inexpensive adsorbent for the removal of atrazine from aqueous solutions.</w:t>
      </w:r>
    </w:p>
    <w:p w:rsidR="00F73B8A" w:rsidRDefault="00F73B8A" w:rsidP="00256E05">
      <w:pPr>
        <w:pStyle w:val="Left"/>
        <w:rPr>
          <w:b/>
          <w:bCs/>
          <w:sz w:val="22"/>
          <w:szCs w:val="22"/>
        </w:rPr>
      </w:pPr>
    </w:p>
    <w:p w:rsidR="00256E05" w:rsidRPr="00584256" w:rsidRDefault="00256E05" w:rsidP="00256E05">
      <w:pPr>
        <w:pStyle w:val="Left"/>
        <w:rPr>
          <w:b/>
          <w:bCs/>
          <w:sz w:val="22"/>
          <w:szCs w:val="22"/>
        </w:rPr>
      </w:pPr>
    </w:p>
    <w:p w:rsidR="001911DE" w:rsidRPr="00584256" w:rsidRDefault="00256E05" w:rsidP="00256E05">
      <w:pPr>
        <w:pStyle w:val="Left"/>
        <w:rPr>
          <w:b/>
          <w:bCs/>
          <w:sz w:val="22"/>
          <w:szCs w:val="22"/>
        </w:rPr>
      </w:pPr>
      <w:r>
        <w:rPr>
          <w:b/>
          <w:bCs/>
          <w:sz w:val="22"/>
          <w:szCs w:val="22"/>
        </w:rPr>
        <w:t>5.0</w:t>
      </w:r>
      <w:r>
        <w:rPr>
          <w:b/>
          <w:bCs/>
          <w:sz w:val="22"/>
          <w:szCs w:val="22"/>
        </w:rPr>
        <w:tab/>
      </w:r>
      <w:r w:rsidR="00B902EC">
        <w:rPr>
          <w:b/>
          <w:bCs/>
          <w:sz w:val="22"/>
          <w:szCs w:val="22"/>
        </w:rPr>
        <w:t>Acknowledgement</w:t>
      </w:r>
      <w:r w:rsidR="003E26A7">
        <w:rPr>
          <w:b/>
          <w:bCs/>
          <w:sz w:val="22"/>
          <w:szCs w:val="22"/>
        </w:rPr>
        <w:t>s</w:t>
      </w:r>
    </w:p>
    <w:p w:rsidR="001911DE" w:rsidRPr="00584256" w:rsidRDefault="001911DE" w:rsidP="00256E05">
      <w:pPr>
        <w:pStyle w:val="Left"/>
        <w:rPr>
          <w:b/>
          <w:bCs/>
          <w:sz w:val="22"/>
          <w:szCs w:val="22"/>
        </w:rPr>
      </w:pPr>
    </w:p>
    <w:p w:rsidR="001911DE" w:rsidRPr="00584256" w:rsidRDefault="00320513" w:rsidP="00256E05">
      <w:pPr>
        <w:pStyle w:val="Left"/>
        <w:jc w:val="both"/>
        <w:rPr>
          <w:bCs/>
          <w:sz w:val="22"/>
          <w:szCs w:val="22"/>
        </w:rPr>
      </w:pPr>
      <w:r w:rsidRPr="00320513">
        <w:rPr>
          <w:bCs/>
          <w:sz w:val="22"/>
          <w:szCs w:val="22"/>
        </w:rPr>
        <w:t>The authors acknowledge the research grants provided by Osaka Gas Foundation in Cultural Exchange (OGFICE) Research Grant Scheme and Universiti Malaysia Sarawak under Small Grant Scheme 02(S84)/820/2011(18).  The authors would like to thank Bravo Green Sdn. Bhd. for providing the activated carbon.</w:t>
      </w:r>
    </w:p>
    <w:p w:rsidR="005E2737" w:rsidRPr="00584256" w:rsidRDefault="005E2737" w:rsidP="00256E05">
      <w:pPr>
        <w:jc w:val="both"/>
        <w:rPr>
          <w:b/>
          <w:bCs/>
          <w:sz w:val="22"/>
          <w:szCs w:val="22"/>
          <w:lang w:val="en-US"/>
        </w:rPr>
      </w:pPr>
    </w:p>
    <w:p w:rsidR="005E2737" w:rsidRPr="00584256" w:rsidRDefault="005E2737" w:rsidP="00256E05">
      <w:pPr>
        <w:jc w:val="both"/>
        <w:rPr>
          <w:b/>
          <w:bCs/>
          <w:sz w:val="22"/>
          <w:szCs w:val="22"/>
          <w:lang w:val="en-US"/>
        </w:rPr>
      </w:pPr>
    </w:p>
    <w:p w:rsidR="00521306" w:rsidRDefault="007660FC" w:rsidP="00256E05">
      <w:pPr>
        <w:jc w:val="both"/>
        <w:rPr>
          <w:b/>
          <w:bCs/>
          <w:sz w:val="22"/>
          <w:szCs w:val="22"/>
          <w:lang w:val="en-US"/>
        </w:rPr>
      </w:pPr>
      <w:r w:rsidRPr="00584256">
        <w:rPr>
          <w:b/>
          <w:bCs/>
          <w:sz w:val="22"/>
          <w:szCs w:val="22"/>
          <w:lang w:val="en-US"/>
        </w:rPr>
        <w:t>References</w:t>
      </w:r>
    </w:p>
    <w:p w:rsidR="00F73B8A" w:rsidRPr="00584256" w:rsidRDefault="00F73B8A" w:rsidP="00256E05">
      <w:pPr>
        <w:jc w:val="both"/>
        <w:rPr>
          <w:b/>
          <w:bCs/>
          <w:sz w:val="22"/>
          <w:szCs w:val="22"/>
          <w:lang w:val="en-US"/>
        </w:rPr>
      </w:pPr>
    </w:p>
    <w:p w:rsidR="00320513" w:rsidRPr="00320513" w:rsidRDefault="00320513" w:rsidP="00256E05">
      <w:pPr>
        <w:adjustRightInd w:val="0"/>
        <w:ind w:left="360" w:hanging="360"/>
        <w:jc w:val="both"/>
        <w:rPr>
          <w:sz w:val="20"/>
          <w:szCs w:val="20"/>
        </w:rPr>
      </w:pPr>
      <w:r w:rsidRPr="00320513">
        <w:rPr>
          <w:sz w:val="20"/>
          <w:szCs w:val="20"/>
        </w:rPr>
        <w:t>Alam, J.B., Dikshit, A.K.</w:t>
      </w:r>
      <w:r w:rsidR="0036152A">
        <w:rPr>
          <w:sz w:val="20"/>
          <w:szCs w:val="20"/>
        </w:rPr>
        <w:t>,</w:t>
      </w:r>
      <w:r w:rsidRPr="00320513">
        <w:rPr>
          <w:sz w:val="20"/>
          <w:szCs w:val="20"/>
        </w:rPr>
        <w:t xml:space="preserve"> and Bandyopadhyay, M. (2004)</w:t>
      </w:r>
      <w:r w:rsidR="0036152A">
        <w:rPr>
          <w:sz w:val="20"/>
          <w:szCs w:val="20"/>
        </w:rPr>
        <w:t>.</w:t>
      </w:r>
      <w:r w:rsidRPr="00320513">
        <w:rPr>
          <w:sz w:val="20"/>
          <w:szCs w:val="20"/>
        </w:rPr>
        <w:t xml:space="preserve"> </w:t>
      </w:r>
      <w:r w:rsidRPr="00320513">
        <w:rPr>
          <w:i/>
          <w:sz w:val="20"/>
          <w:szCs w:val="20"/>
        </w:rPr>
        <w:t xml:space="preserve">Sorption </w:t>
      </w:r>
      <w:r w:rsidR="0036152A">
        <w:rPr>
          <w:i/>
          <w:sz w:val="20"/>
          <w:szCs w:val="20"/>
        </w:rPr>
        <w:t>and Desorption o</w:t>
      </w:r>
      <w:r w:rsidR="0036152A" w:rsidRPr="00320513">
        <w:rPr>
          <w:i/>
          <w:sz w:val="20"/>
          <w:szCs w:val="20"/>
        </w:rPr>
        <w:t>f 2,4-</w:t>
      </w:r>
      <w:r w:rsidRPr="00320513">
        <w:rPr>
          <w:i/>
          <w:sz w:val="20"/>
          <w:szCs w:val="20"/>
        </w:rPr>
        <w:t xml:space="preserve">D </w:t>
      </w:r>
      <w:r w:rsidR="0036152A">
        <w:rPr>
          <w:i/>
          <w:sz w:val="20"/>
          <w:szCs w:val="20"/>
        </w:rPr>
        <w:t>and Atrazine f</w:t>
      </w:r>
      <w:r w:rsidR="0036152A" w:rsidRPr="00320513">
        <w:rPr>
          <w:i/>
          <w:sz w:val="20"/>
          <w:szCs w:val="20"/>
        </w:rPr>
        <w:t>rom Water Environ</w:t>
      </w:r>
      <w:r w:rsidR="0036152A">
        <w:rPr>
          <w:i/>
          <w:sz w:val="20"/>
          <w:szCs w:val="20"/>
        </w:rPr>
        <w:t>ment by Waste Tyre Rubber Granules a</w:t>
      </w:r>
      <w:r w:rsidR="0036152A" w:rsidRPr="00320513">
        <w:rPr>
          <w:i/>
          <w:sz w:val="20"/>
          <w:szCs w:val="20"/>
        </w:rPr>
        <w:t>nd Its Management</w:t>
      </w:r>
      <w:r w:rsidR="0036152A" w:rsidRPr="00320513">
        <w:rPr>
          <w:sz w:val="20"/>
          <w:szCs w:val="20"/>
        </w:rPr>
        <w:t xml:space="preserve">. </w:t>
      </w:r>
      <w:r w:rsidRPr="00320513">
        <w:rPr>
          <w:sz w:val="20"/>
          <w:szCs w:val="20"/>
        </w:rPr>
        <w:t xml:space="preserve">Global </w:t>
      </w:r>
      <w:r w:rsidR="0036152A">
        <w:rPr>
          <w:sz w:val="20"/>
          <w:szCs w:val="20"/>
        </w:rPr>
        <w:t xml:space="preserve">NEST: the International Journal </w:t>
      </w:r>
      <w:r w:rsidRPr="00320513">
        <w:rPr>
          <w:sz w:val="20"/>
          <w:szCs w:val="20"/>
        </w:rPr>
        <w:t>6: 105-115.</w:t>
      </w:r>
    </w:p>
    <w:p w:rsidR="00320513" w:rsidRPr="00320513" w:rsidRDefault="00320513" w:rsidP="00256E05">
      <w:pPr>
        <w:adjustRightInd w:val="0"/>
        <w:ind w:left="360" w:hanging="360"/>
        <w:jc w:val="both"/>
        <w:rPr>
          <w:sz w:val="20"/>
          <w:szCs w:val="20"/>
        </w:rPr>
      </w:pPr>
      <w:r w:rsidRPr="00320513">
        <w:rPr>
          <w:sz w:val="20"/>
          <w:szCs w:val="20"/>
        </w:rPr>
        <w:t>Alam, S.</w:t>
      </w:r>
      <w:r w:rsidR="00507090">
        <w:rPr>
          <w:sz w:val="20"/>
          <w:szCs w:val="20"/>
        </w:rPr>
        <w:t>,</w:t>
      </w:r>
      <w:r w:rsidRPr="00320513">
        <w:rPr>
          <w:sz w:val="20"/>
          <w:szCs w:val="20"/>
        </w:rPr>
        <w:t xml:space="preserve"> and Bangash, F.K. (2007)</w:t>
      </w:r>
      <w:r w:rsidR="00507090">
        <w:rPr>
          <w:sz w:val="20"/>
          <w:szCs w:val="20"/>
        </w:rPr>
        <w:t>.</w:t>
      </w:r>
      <w:r w:rsidRPr="00320513">
        <w:rPr>
          <w:sz w:val="20"/>
          <w:szCs w:val="20"/>
        </w:rPr>
        <w:t xml:space="preserve"> </w:t>
      </w:r>
      <w:r w:rsidRPr="00320513">
        <w:rPr>
          <w:i/>
          <w:sz w:val="20"/>
          <w:szCs w:val="20"/>
        </w:rPr>
        <w:t xml:space="preserve">Adsorption </w:t>
      </w:r>
      <w:r w:rsidR="00507090">
        <w:rPr>
          <w:i/>
          <w:sz w:val="20"/>
          <w:szCs w:val="20"/>
        </w:rPr>
        <w:t>of Acid Orange 7 by Activated Carbon Produced f</w:t>
      </w:r>
      <w:r w:rsidR="00507090" w:rsidRPr="00320513">
        <w:rPr>
          <w:i/>
          <w:sz w:val="20"/>
          <w:szCs w:val="20"/>
        </w:rPr>
        <w:t>rom Agriculture Waste: Kinetics</w:t>
      </w:r>
      <w:r w:rsidR="00507090" w:rsidRPr="00320513">
        <w:rPr>
          <w:sz w:val="20"/>
          <w:szCs w:val="20"/>
        </w:rPr>
        <w:t xml:space="preserve">. </w:t>
      </w:r>
      <w:r w:rsidRPr="00320513">
        <w:rPr>
          <w:sz w:val="20"/>
          <w:szCs w:val="20"/>
        </w:rPr>
        <w:t>Journal of t</w:t>
      </w:r>
      <w:r w:rsidR="00507090">
        <w:rPr>
          <w:sz w:val="20"/>
          <w:szCs w:val="20"/>
        </w:rPr>
        <w:t>he Chemstry Society of Pakistan</w:t>
      </w:r>
      <w:r w:rsidRPr="00320513">
        <w:rPr>
          <w:sz w:val="20"/>
          <w:szCs w:val="20"/>
        </w:rPr>
        <w:t xml:space="preserve"> 29: 558-563.</w:t>
      </w:r>
    </w:p>
    <w:p w:rsidR="00320513" w:rsidRPr="00320513" w:rsidRDefault="00320513" w:rsidP="00256E05">
      <w:pPr>
        <w:adjustRightInd w:val="0"/>
        <w:ind w:left="360" w:hanging="360"/>
        <w:jc w:val="both"/>
        <w:rPr>
          <w:sz w:val="20"/>
          <w:szCs w:val="20"/>
        </w:rPr>
      </w:pPr>
      <w:r w:rsidRPr="00320513">
        <w:rPr>
          <w:bCs/>
          <w:sz w:val="20"/>
          <w:szCs w:val="20"/>
        </w:rPr>
        <w:t>Aydinalp, C.</w:t>
      </w:r>
      <w:r w:rsidR="00507090">
        <w:rPr>
          <w:bCs/>
          <w:sz w:val="20"/>
          <w:szCs w:val="20"/>
        </w:rPr>
        <w:t>,</w:t>
      </w:r>
      <w:r w:rsidRPr="00320513">
        <w:rPr>
          <w:bCs/>
          <w:sz w:val="20"/>
          <w:szCs w:val="20"/>
        </w:rPr>
        <w:t xml:space="preserve"> and Porca, M.M. (2004)</w:t>
      </w:r>
      <w:r w:rsidR="00507090">
        <w:rPr>
          <w:bCs/>
          <w:sz w:val="20"/>
          <w:szCs w:val="20"/>
        </w:rPr>
        <w:t>.</w:t>
      </w:r>
      <w:r w:rsidRPr="00320513">
        <w:rPr>
          <w:bCs/>
          <w:sz w:val="20"/>
          <w:szCs w:val="20"/>
        </w:rPr>
        <w:t xml:space="preserve"> </w:t>
      </w:r>
      <w:r w:rsidRPr="00320513">
        <w:rPr>
          <w:bCs/>
          <w:i/>
          <w:sz w:val="20"/>
          <w:szCs w:val="20"/>
        </w:rPr>
        <w:t xml:space="preserve">The </w:t>
      </w:r>
      <w:r w:rsidR="00507090">
        <w:rPr>
          <w:bCs/>
          <w:i/>
          <w:sz w:val="20"/>
          <w:szCs w:val="20"/>
        </w:rPr>
        <w:t>Effects of Pesticides i</w:t>
      </w:r>
      <w:r w:rsidR="00507090" w:rsidRPr="00320513">
        <w:rPr>
          <w:bCs/>
          <w:i/>
          <w:sz w:val="20"/>
          <w:szCs w:val="20"/>
        </w:rPr>
        <w:t>n Water Resources</w:t>
      </w:r>
      <w:r w:rsidR="00507090" w:rsidRPr="00320513">
        <w:rPr>
          <w:bCs/>
          <w:sz w:val="20"/>
          <w:szCs w:val="20"/>
        </w:rPr>
        <w:t xml:space="preserve">. </w:t>
      </w:r>
      <w:r w:rsidRPr="00320513">
        <w:rPr>
          <w:bCs/>
          <w:sz w:val="20"/>
          <w:szCs w:val="20"/>
        </w:rPr>
        <w:t xml:space="preserve">Journal </w:t>
      </w:r>
      <w:r w:rsidR="00507090">
        <w:rPr>
          <w:bCs/>
          <w:sz w:val="20"/>
          <w:szCs w:val="20"/>
        </w:rPr>
        <w:t>Central European of Agriculture</w:t>
      </w:r>
      <w:r w:rsidRPr="00320513">
        <w:rPr>
          <w:bCs/>
          <w:sz w:val="20"/>
          <w:szCs w:val="20"/>
        </w:rPr>
        <w:t xml:space="preserve"> 5: 5-12.</w:t>
      </w:r>
    </w:p>
    <w:p w:rsidR="00320513" w:rsidRPr="00320513" w:rsidRDefault="00320513" w:rsidP="00256E05">
      <w:pPr>
        <w:adjustRightInd w:val="0"/>
        <w:ind w:left="360" w:hanging="360"/>
        <w:jc w:val="both"/>
        <w:rPr>
          <w:sz w:val="20"/>
          <w:szCs w:val="20"/>
        </w:rPr>
      </w:pPr>
      <w:r w:rsidRPr="00320513">
        <w:rPr>
          <w:sz w:val="20"/>
          <w:szCs w:val="20"/>
        </w:rPr>
        <w:t>Barriuso, E., Baer, U.</w:t>
      </w:r>
      <w:r w:rsidR="00507090">
        <w:rPr>
          <w:sz w:val="20"/>
          <w:szCs w:val="20"/>
        </w:rPr>
        <w:t>,</w:t>
      </w:r>
      <w:r w:rsidRPr="00320513">
        <w:rPr>
          <w:sz w:val="20"/>
          <w:szCs w:val="20"/>
        </w:rPr>
        <w:t xml:space="preserve"> and Calvet, R. (1992)</w:t>
      </w:r>
      <w:r w:rsidR="00507090">
        <w:rPr>
          <w:sz w:val="20"/>
          <w:szCs w:val="20"/>
        </w:rPr>
        <w:t>.</w:t>
      </w:r>
      <w:r w:rsidRPr="00320513">
        <w:rPr>
          <w:sz w:val="20"/>
          <w:szCs w:val="20"/>
        </w:rPr>
        <w:t xml:space="preserve"> </w:t>
      </w:r>
      <w:r w:rsidRPr="00320513">
        <w:rPr>
          <w:i/>
          <w:sz w:val="20"/>
          <w:szCs w:val="20"/>
        </w:rPr>
        <w:t xml:space="preserve">Dissolved </w:t>
      </w:r>
      <w:r w:rsidR="00507090">
        <w:rPr>
          <w:i/>
          <w:sz w:val="20"/>
          <w:szCs w:val="20"/>
        </w:rPr>
        <w:t>Organic Matter and Adsorption–Desorption of Dimefuron, Atrazine and Carbetamide b</w:t>
      </w:r>
      <w:r w:rsidR="00507090" w:rsidRPr="00320513">
        <w:rPr>
          <w:i/>
          <w:sz w:val="20"/>
          <w:szCs w:val="20"/>
        </w:rPr>
        <w:t>y Soils</w:t>
      </w:r>
      <w:r w:rsidR="00507090" w:rsidRPr="00320513">
        <w:rPr>
          <w:sz w:val="20"/>
          <w:szCs w:val="20"/>
        </w:rPr>
        <w:t xml:space="preserve">. </w:t>
      </w:r>
      <w:r w:rsidRPr="00320513">
        <w:rPr>
          <w:sz w:val="20"/>
          <w:szCs w:val="20"/>
        </w:rPr>
        <w:t>J</w:t>
      </w:r>
      <w:r w:rsidR="00507090">
        <w:rPr>
          <w:sz w:val="20"/>
          <w:szCs w:val="20"/>
        </w:rPr>
        <w:t>ournal of Environmental Quality</w:t>
      </w:r>
      <w:r w:rsidRPr="00320513">
        <w:rPr>
          <w:sz w:val="20"/>
          <w:szCs w:val="20"/>
        </w:rPr>
        <w:t xml:space="preserve"> 21: 359–367.</w:t>
      </w:r>
    </w:p>
    <w:p w:rsidR="00320513" w:rsidRPr="00320513" w:rsidRDefault="00320513" w:rsidP="00256E05">
      <w:pPr>
        <w:adjustRightInd w:val="0"/>
        <w:ind w:left="360" w:hanging="360"/>
        <w:jc w:val="both"/>
        <w:rPr>
          <w:sz w:val="20"/>
          <w:szCs w:val="20"/>
        </w:rPr>
      </w:pPr>
      <w:r w:rsidRPr="00320513">
        <w:rPr>
          <w:sz w:val="20"/>
          <w:szCs w:val="20"/>
        </w:rPr>
        <w:t>Colombini, M.P., Fuoco, R., Giannarelli, S.</w:t>
      </w:r>
      <w:r w:rsidR="00507090">
        <w:rPr>
          <w:sz w:val="20"/>
          <w:szCs w:val="20"/>
        </w:rPr>
        <w:t>,</w:t>
      </w:r>
      <w:r w:rsidRPr="00320513">
        <w:rPr>
          <w:sz w:val="20"/>
          <w:szCs w:val="20"/>
        </w:rPr>
        <w:t xml:space="preserve"> and Pospísil, L.T. (1998)</w:t>
      </w:r>
      <w:r w:rsidR="00507090">
        <w:rPr>
          <w:sz w:val="20"/>
          <w:szCs w:val="20"/>
        </w:rPr>
        <w:t>.</w:t>
      </w:r>
      <w:r w:rsidRPr="00320513">
        <w:rPr>
          <w:sz w:val="20"/>
          <w:szCs w:val="20"/>
        </w:rPr>
        <w:t xml:space="preserve"> </w:t>
      </w:r>
      <w:r w:rsidRPr="00320513">
        <w:rPr>
          <w:i/>
          <w:sz w:val="20"/>
          <w:szCs w:val="20"/>
        </w:rPr>
        <w:t xml:space="preserve">Protonation and </w:t>
      </w:r>
      <w:r w:rsidR="00507090">
        <w:rPr>
          <w:i/>
          <w:sz w:val="20"/>
          <w:szCs w:val="20"/>
        </w:rPr>
        <w:t>Degradation Reactions o</w:t>
      </w:r>
      <w:r w:rsidR="00507090" w:rsidRPr="00320513">
        <w:rPr>
          <w:i/>
          <w:sz w:val="20"/>
          <w:szCs w:val="20"/>
        </w:rPr>
        <w:t>f S-Triazine Herbicides</w:t>
      </w:r>
      <w:r w:rsidR="00507090" w:rsidRPr="00320513">
        <w:rPr>
          <w:sz w:val="20"/>
          <w:szCs w:val="20"/>
        </w:rPr>
        <w:t xml:space="preserve">. </w:t>
      </w:r>
      <w:r w:rsidR="00507090">
        <w:rPr>
          <w:iCs/>
          <w:sz w:val="20"/>
          <w:szCs w:val="20"/>
        </w:rPr>
        <w:t>Microchemical Journal</w:t>
      </w:r>
      <w:r w:rsidRPr="00320513">
        <w:rPr>
          <w:sz w:val="20"/>
          <w:szCs w:val="20"/>
        </w:rPr>
        <w:t xml:space="preserve"> 59: 239-245.</w:t>
      </w:r>
    </w:p>
    <w:p w:rsidR="00320513" w:rsidRPr="00320513" w:rsidRDefault="00320513" w:rsidP="00256E05">
      <w:pPr>
        <w:adjustRightInd w:val="0"/>
        <w:ind w:left="360" w:hanging="360"/>
        <w:jc w:val="both"/>
        <w:rPr>
          <w:sz w:val="20"/>
          <w:szCs w:val="20"/>
        </w:rPr>
      </w:pPr>
      <w:r w:rsidRPr="00320513">
        <w:rPr>
          <w:sz w:val="20"/>
          <w:szCs w:val="20"/>
        </w:rPr>
        <w:lastRenderedPageBreak/>
        <w:t>Daifullah, A.A.M., Girgis, B.S.</w:t>
      </w:r>
      <w:r w:rsidR="00507090">
        <w:rPr>
          <w:sz w:val="20"/>
          <w:szCs w:val="20"/>
        </w:rPr>
        <w:t>,</w:t>
      </w:r>
      <w:r w:rsidRPr="00320513">
        <w:rPr>
          <w:sz w:val="20"/>
          <w:szCs w:val="20"/>
        </w:rPr>
        <w:t xml:space="preserve"> and Gad, H.M.H. (2004)</w:t>
      </w:r>
      <w:r w:rsidR="00507090">
        <w:rPr>
          <w:sz w:val="20"/>
          <w:szCs w:val="20"/>
        </w:rPr>
        <w:t>.</w:t>
      </w:r>
      <w:r w:rsidRPr="00320513">
        <w:rPr>
          <w:sz w:val="20"/>
          <w:szCs w:val="20"/>
        </w:rPr>
        <w:t xml:space="preserve"> </w:t>
      </w:r>
      <w:r w:rsidRPr="00320513">
        <w:rPr>
          <w:i/>
          <w:sz w:val="20"/>
          <w:szCs w:val="20"/>
        </w:rPr>
        <w:t xml:space="preserve">A </w:t>
      </w:r>
      <w:r w:rsidR="00507090">
        <w:rPr>
          <w:i/>
          <w:sz w:val="20"/>
          <w:szCs w:val="20"/>
        </w:rPr>
        <w:t>Study of the Factors Affecting the Removal of Humic Acid by Activated Carbon Prepared f</w:t>
      </w:r>
      <w:r w:rsidR="00507090" w:rsidRPr="00320513">
        <w:rPr>
          <w:i/>
          <w:sz w:val="20"/>
          <w:szCs w:val="20"/>
        </w:rPr>
        <w:t>rom Biomass Material</w:t>
      </w:r>
      <w:r w:rsidR="00507090" w:rsidRPr="00320513">
        <w:rPr>
          <w:sz w:val="20"/>
          <w:szCs w:val="20"/>
        </w:rPr>
        <w:t xml:space="preserve">. </w:t>
      </w:r>
      <w:r w:rsidRPr="00320513">
        <w:rPr>
          <w:sz w:val="20"/>
          <w:szCs w:val="20"/>
        </w:rPr>
        <w:t>Colloids and Surface A: Phys</w:t>
      </w:r>
      <w:r w:rsidR="00507090">
        <w:rPr>
          <w:sz w:val="20"/>
          <w:szCs w:val="20"/>
        </w:rPr>
        <w:t>icochemical Engineering Aspects</w:t>
      </w:r>
      <w:r w:rsidRPr="00320513">
        <w:rPr>
          <w:sz w:val="20"/>
          <w:szCs w:val="20"/>
        </w:rPr>
        <w:t xml:space="preserve"> 235: 1-10.</w:t>
      </w:r>
    </w:p>
    <w:p w:rsidR="00320513" w:rsidRPr="00320513" w:rsidRDefault="00320513" w:rsidP="00256E05">
      <w:pPr>
        <w:adjustRightInd w:val="0"/>
        <w:ind w:left="360" w:hanging="360"/>
        <w:jc w:val="both"/>
        <w:rPr>
          <w:sz w:val="20"/>
          <w:szCs w:val="20"/>
        </w:rPr>
      </w:pPr>
      <w:r w:rsidRPr="00320513">
        <w:rPr>
          <w:bCs/>
          <w:sz w:val="20"/>
          <w:szCs w:val="20"/>
        </w:rPr>
        <w:t>Djebbar,</w:t>
      </w:r>
      <w:r w:rsidR="00507090">
        <w:rPr>
          <w:bCs/>
          <w:sz w:val="20"/>
          <w:szCs w:val="20"/>
        </w:rPr>
        <w:t xml:space="preserve"> M., Djafri, F., Bouchekara, M., </w:t>
      </w:r>
      <w:r w:rsidRPr="00320513">
        <w:rPr>
          <w:bCs/>
          <w:sz w:val="20"/>
          <w:szCs w:val="20"/>
        </w:rPr>
        <w:t>and Djafri, A. (2012)</w:t>
      </w:r>
      <w:r w:rsidR="00507090">
        <w:rPr>
          <w:bCs/>
          <w:sz w:val="20"/>
          <w:szCs w:val="20"/>
        </w:rPr>
        <w:t>.</w:t>
      </w:r>
      <w:r w:rsidRPr="00320513">
        <w:rPr>
          <w:bCs/>
          <w:sz w:val="20"/>
          <w:szCs w:val="20"/>
        </w:rPr>
        <w:t xml:space="preserve"> </w:t>
      </w:r>
      <w:r w:rsidRPr="00320513">
        <w:rPr>
          <w:bCs/>
          <w:i/>
          <w:sz w:val="20"/>
          <w:szCs w:val="20"/>
        </w:rPr>
        <w:t xml:space="preserve">Adsorption of </w:t>
      </w:r>
      <w:r w:rsidR="00507090">
        <w:rPr>
          <w:bCs/>
          <w:i/>
          <w:sz w:val="20"/>
          <w:szCs w:val="20"/>
        </w:rPr>
        <w:t>Phenol o</w:t>
      </w:r>
      <w:r w:rsidR="00507090" w:rsidRPr="00320513">
        <w:rPr>
          <w:bCs/>
          <w:i/>
          <w:sz w:val="20"/>
          <w:szCs w:val="20"/>
        </w:rPr>
        <w:t>n Natural Clay</w:t>
      </w:r>
      <w:r w:rsidR="00507090" w:rsidRPr="00320513">
        <w:rPr>
          <w:bCs/>
          <w:sz w:val="20"/>
          <w:szCs w:val="20"/>
        </w:rPr>
        <w:t>.</w:t>
      </w:r>
      <w:r w:rsidRPr="00320513">
        <w:rPr>
          <w:bCs/>
          <w:sz w:val="20"/>
          <w:szCs w:val="20"/>
        </w:rPr>
        <w:t xml:space="preserve"> African Journa</w:t>
      </w:r>
      <w:r w:rsidR="00507090">
        <w:rPr>
          <w:bCs/>
          <w:sz w:val="20"/>
          <w:szCs w:val="20"/>
        </w:rPr>
        <w:t>l of Pure and Applied Chemistry</w:t>
      </w:r>
      <w:r w:rsidRPr="00320513">
        <w:rPr>
          <w:bCs/>
          <w:sz w:val="20"/>
          <w:szCs w:val="20"/>
        </w:rPr>
        <w:t xml:space="preserve"> 6: 15-25.</w:t>
      </w:r>
    </w:p>
    <w:p w:rsidR="00320513" w:rsidRPr="00320513" w:rsidRDefault="00320513" w:rsidP="00256E05">
      <w:pPr>
        <w:adjustRightInd w:val="0"/>
        <w:ind w:left="360" w:hanging="360"/>
        <w:jc w:val="both"/>
        <w:rPr>
          <w:sz w:val="20"/>
          <w:szCs w:val="20"/>
        </w:rPr>
      </w:pPr>
      <w:r w:rsidRPr="00320513">
        <w:rPr>
          <w:sz w:val="20"/>
          <w:szCs w:val="20"/>
          <w:lang w:val="de-DE"/>
        </w:rPr>
        <w:t>Freundlich, H.M.F. (1906)</w:t>
      </w:r>
      <w:r w:rsidR="00507090">
        <w:rPr>
          <w:sz w:val="20"/>
          <w:szCs w:val="20"/>
          <w:lang w:val="de-DE"/>
        </w:rPr>
        <w:t>.</w:t>
      </w:r>
      <w:r w:rsidRPr="00320513">
        <w:rPr>
          <w:sz w:val="20"/>
          <w:szCs w:val="20"/>
          <w:lang w:val="de-DE"/>
        </w:rPr>
        <w:t xml:space="preserve"> </w:t>
      </w:r>
      <w:r w:rsidRPr="00320513">
        <w:rPr>
          <w:i/>
          <w:sz w:val="20"/>
          <w:szCs w:val="20"/>
          <w:lang w:val="de-DE"/>
        </w:rPr>
        <w:t xml:space="preserve">U ber </w:t>
      </w:r>
      <w:r w:rsidR="00507090">
        <w:rPr>
          <w:i/>
          <w:sz w:val="20"/>
          <w:szCs w:val="20"/>
          <w:lang w:val="de-DE"/>
        </w:rPr>
        <w:t>Die Adsorption i</w:t>
      </w:r>
      <w:r w:rsidR="00507090" w:rsidRPr="00320513">
        <w:rPr>
          <w:i/>
          <w:sz w:val="20"/>
          <w:szCs w:val="20"/>
          <w:lang w:val="de-DE"/>
        </w:rPr>
        <w:t>n Losungen</w:t>
      </w:r>
      <w:r w:rsidR="00507090">
        <w:rPr>
          <w:i/>
          <w:sz w:val="20"/>
          <w:szCs w:val="20"/>
          <w:lang w:val="de-DE"/>
        </w:rPr>
        <w:t>.</w:t>
      </w:r>
      <w:r w:rsidRPr="00320513">
        <w:rPr>
          <w:i/>
          <w:sz w:val="20"/>
          <w:szCs w:val="20"/>
          <w:lang w:val="de-DE"/>
        </w:rPr>
        <w:t xml:space="preserve"> </w:t>
      </w:r>
      <w:r w:rsidRPr="00320513">
        <w:rPr>
          <w:sz w:val="20"/>
          <w:szCs w:val="20"/>
          <w:lang w:val="de-DE"/>
        </w:rPr>
        <w:t xml:space="preserve">Z. </w:t>
      </w:r>
      <w:r w:rsidR="00507090">
        <w:rPr>
          <w:sz w:val="20"/>
          <w:szCs w:val="20"/>
        </w:rPr>
        <w:t>Physical and Chemical</w:t>
      </w:r>
      <w:r w:rsidRPr="00320513">
        <w:rPr>
          <w:sz w:val="20"/>
          <w:szCs w:val="20"/>
        </w:rPr>
        <w:t xml:space="preserve"> 57: 385-470.</w:t>
      </w:r>
    </w:p>
    <w:p w:rsidR="00320513" w:rsidRPr="00320513" w:rsidRDefault="00320513" w:rsidP="00256E05">
      <w:pPr>
        <w:adjustRightInd w:val="0"/>
        <w:ind w:left="360" w:hanging="360"/>
        <w:jc w:val="both"/>
        <w:rPr>
          <w:sz w:val="20"/>
          <w:szCs w:val="20"/>
        </w:rPr>
      </w:pPr>
      <w:r w:rsidRPr="00320513">
        <w:rPr>
          <w:sz w:val="20"/>
          <w:szCs w:val="20"/>
        </w:rPr>
        <w:t>Guo, J.</w:t>
      </w:r>
      <w:r w:rsidR="00507090">
        <w:rPr>
          <w:sz w:val="20"/>
          <w:szCs w:val="20"/>
        </w:rPr>
        <w:t>,</w:t>
      </w:r>
      <w:r w:rsidRPr="00320513">
        <w:rPr>
          <w:sz w:val="20"/>
          <w:szCs w:val="20"/>
        </w:rPr>
        <w:t xml:space="preserve"> and Lua, A.C. (1998)</w:t>
      </w:r>
      <w:r w:rsidR="00507090">
        <w:rPr>
          <w:sz w:val="20"/>
          <w:szCs w:val="20"/>
        </w:rPr>
        <w:t>.</w:t>
      </w:r>
      <w:r w:rsidRPr="00320513">
        <w:rPr>
          <w:sz w:val="20"/>
          <w:szCs w:val="20"/>
        </w:rPr>
        <w:t xml:space="preserve"> </w:t>
      </w:r>
      <w:r w:rsidRPr="00320513">
        <w:rPr>
          <w:i/>
          <w:sz w:val="20"/>
          <w:szCs w:val="20"/>
        </w:rPr>
        <w:t xml:space="preserve">Characterization of </w:t>
      </w:r>
      <w:r w:rsidR="00507090">
        <w:rPr>
          <w:i/>
          <w:sz w:val="20"/>
          <w:szCs w:val="20"/>
        </w:rPr>
        <w:t>Chars Pyrolyzed from Oil Palm Stones for the Preparation o</w:t>
      </w:r>
      <w:r w:rsidR="00507090" w:rsidRPr="00320513">
        <w:rPr>
          <w:i/>
          <w:sz w:val="20"/>
          <w:szCs w:val="20"/>
        </w:rPr>
        <w:t>f Activated Carbons</w:t>
      </w:r>
      <w:r w:rsidRPr="00320513">
        <w:rPr>
          <w:sz w:val="20"/>
          <w:szCs w:val="20"/>
        </w:rPr>
        <w:t>. Journal of A</w:t>
      </w:r>
      <w:r w:rsidR="00507090">
        <w:rPr>
          <w:sz w:val="20"/>
          <w:szCs w:val="20"/>
        </w:rPr>
        <w:t>nalytical and Applied Pyrolysis</w:t>
      </w:r>
      <w:r w:rsidRPr="00320513">
        <w:rPr>
          <w:sz w:val="20"/>
          <w:szCs w:val="20"/>
        </w:rPr>
        <w:t xml:space="preserve"> 46: 113-125.</w:t>
      </w:r>
    </w:p>
    <w:p w:rsidR="00320513" w:rsidRPr="00320513" w:rsidRDefault="00320513" w:rsidP="00256E05">
      <w:pPr>
        <w:adjustRightInd w:val="0"/>
        <w:ind w:left="360" w:hanging="360"/>
        <w:jc w:val="both"/>
        <w:rPr>
          <w:sz w:val="20"/>
          <w:szCs w:val="20"/>
        </w:rPr>
      </w:pPr>
      <w:r w:rsidRPr="00320513">
        <w:rPr>
          <w:sz w:val="20"/>
          <w:szCs w:val="20"/>
        </w:rPr>
        <w:t>Guo, J.</w:t>
      </w:r>
      <w:r w:rsidR="00507090">
        <w:rPr>
          <w:sz w:val="20"/>
          <w:szCs w:val="20"/>
        </w:rPr>
        <w:t>,</w:t>
      </w:r>
      <w:r w:rsidRPr="00320513">
        <w:rPr>
          <w:sz w:val="20"/>
          <w:szCs w:val="20"/>
        </w:rPr>
        <w:t xml:space="preserve"> and Lua, A.C. (2002)</w:t>
      </w:r>
      <w:r w:rsidR="00507090">
        <w:rPr>
          <w:sz w:val="20"/>
          <w:szCs w:val="20"/>
        </w:rPr>
        <w:t>.</w:t>
      </w:r>
      <w:r w:rsidRPr="00320513">
        <w:rPr>
          <w:sz w:val="20"/>
          <w:szCs w:val="20"/>
        </w:rPr>
        <w:t xml:space="preserve"> </w:t>
      </w:r>
      <w:r w:rsidRPr="000E7C45">
        <w:rPr>
          <w:i/>
          <w:sz w:val="20"/>
          <w:szCs w:val="20"/>
        </w:rPr>
        <w:t xml:space="preserve">Characterization of </w:t>
      </w:r>
      <w:r w:rsidR="00507090">
        <w:rPr>
          <w:i/>
          <w:sz w:val="20"/>
          <w:szCs w:val="20"/>
        </w:rPr>
        <w:t>Adsorbent Prepared from Oil Palm Shell b</w:t>
      </w:r>
      <w:r w:rsidR="00507090" w:rsidRPr="000E7C45">
        <w:rPr>
          <w:i/>
          <w:sz w:val="20"/>
          <w:szCs w:val="20"/>
        </w:rPr>
        <w:t xml:space="preserve">y </w:t>
      </w:r>
      <w:r w:rsidRPr="000E7C45">
        <w:rPr>
          <w:i/>
          <w:sz w:val="20"/>
          <w:szCs w:val="20"/>
        </w:rPr>
        <w:t>CO</w:t>
      </w:r>
      <w:r w:rsidRPr="000E7C45">
        <w:rPr>
          <w:i/>
          <w:sz w:val="20"/>
          <w:szCs w:val="20"/>
          <w:vertAlign w:val="subscript"/>
        </w:rPr>
        <w:t>2</w:t>
      </w:r>
      <w:r w:rsidRPr="000E7C45">
        <w:rPr>
          <w:i/>
          <w:sz w:val="20"/>
          <w:szCs w:val="20"/>
        </w:rPr>
        <w:t xml:space="preserve"> </w:t>
      </w:r>
      <w:r w:rsidR="00507090">
        <w:rPr>
          <w:i/>
          <w:sz w:val="20"/>
          <w:szCs w:val="20"/>
        </w:rPr>
        <w:t>Activation for Removal o</w:t>
      </w:r>
      <w:r w:rsidR="00507090" w:rsidRPr="000E7C45">
        <w:rPr>
          <w:i/>
          <w:sz w:val="20"/>
          <w:szCs w:val="20"/>
        </w:rPr>
        <w:t>f Gaseous Pollutants</w:t>
      </w:r>
      <w:r w:rsidR="00507090" w:rsidRPr="00320513">
        <w:rPr>
          <w:sz w:val="20"/>
          <w:szCs w:val="20"/>
        </w:rPr>
        <w:t xml:space="preserve">. </w:t>
      </w:r>
      <w:r w:rsidRPr="000E7C45">
        <w:rPr>
          <w:sz w:val="20"/>
          <w:szCs w:val="20"/>
        </w:rPr>
        <w:t>Materials Letters</w:t>
      </w:r>
      <w:r w:rsidRPr="00320513">
        <w:rPr>
          <w:sz w:val="20"/>
          <w:szCs w:val="20"/>
        </w:rPr>
        <w:t xml:space="preserve"> 55: 334-339. </w:t>
      </w:r>
    </w:p>
    <w:p w:rsidR="00320513" w:rsidRPr="00320513" w:rsidRDefault="00507090" w:rsidP="00256E05">
      <w:pPr>
        <w:adjustRightInd w:val="0"/>
        <w:ind w:left="360" w:hanging="360"/>
        <w:jc w:val="both"/>
        <w:rPr>
          <w:sz w:val="20"/>
          <w:szCs w:val="20"/>
        </w:rPr>
      </w:pPr>
      <w:r>
        <w:rPr>
          <w:sz w:val="20"/>
          <w:szCs w:val="20"/>
        </w:rPr>
        <w:t>Gupta, V.K.,</w:t>
      </w:r>
      <w:r w:rsidR="00320513" w:rsidRPr="00320513">
        <w:rPr>
          <w:sz w:val="20"/>
          <w:szCs w:val="20"/>
        </w:rPr>
        <w:t xml:space="preserve"> and Imran, A. (2008)</w:t>
      </w:r>
      <w:r>
        <w:rPr>
          <w:sz w:val="20"/>
          <w:szCs w:val="20"/>
        </w:rPr>
        <w:t>.</w:t>
      </w:r>
      <w:r w:rsidR="00320513" w:rsidRPr="00320513">
        <w:rPr>
          <w:sz w:val="20"/>
          <w:szCs w:val="20"/>
        </w:rPr>
        <w:t xml:space="preserve"> </w:t>
      </w:r>
      <w:r w:rsidR="00320513" w:rsidRPr="000E7C45">
        <w:rPr>
          <w:i/>
          <w:sz w:val="20"/>
          <w:szCs w:val="20"/>
        </w:rPr>
        <w:t xml:space="preserve">Removal of </w:t>
      </w:r>
      <w:r>
        <w:rPr>
          <w:i/>
          <w:sz w:val="20"/>
          <w:szCs w:val="20"/>
        </w:rPr>
        <w:t>Endosulfan and Methoxychlor from Water o</w:t>
      </w:r>
      <w:r w:rsidRPr="000E7C45">
        <w:rPr>
          <w:i/>
          <w:sz w:val="20"/>
          <w:szCs w:val="20"/>
        </w:rPr>
        <w:t>n Carbon Slurry</w:t>
      </w:r>
      <w:r w:rsidRPr="00320513">
        <w:rPr>
          <w:sz w:val="20"/>
          <w:szCs w:val="20"/>
        </w:rPr>
        <w:t xml:space="preserve">. </w:t>
      </w:r>
      <w:r w:rsidR="00320513" w:rsidRPr="000E7C45">
        <w:rPr>
          <w:sz w:val="20"/>
          <w:szCs w:val="20"/>
        </w:rPr>
        <w:t>Environmental Science and Technology</w:t>
      </w:r>
      <w:r w:rsidR="00320513" w:rsidRPr="00320513">
        <w:rPr>
          <w:sz w:val="20"/>
          <w:szCs w:val="20"/>
        </w:rPr>
        <w:t xml:space="preserve"> 42: 766-770.</w:t>
      </w:r>
    </w:p>
    <w:p w:rsidR="00320513" w:rsidRPr="00320513" w:rsidRDefault="00320513" w:rsidP="00256E05">
      <w:pPr>
        <w:adjustRightInd w:val="0"/>
        <w:ind w:left="360" w:hanging="360"/>
        <w:jc w:val="both"/>
        <w:rPr>
          <w:sz w:val="20"/>
          <w:szCs w:val="20"/>
        </w:rPr>
      </w:pPr>
      <w:r w:rsidRPr="00320513">
        <w:rPr>
          <w:sz w:val="20"/>
          <w:szCs w:val="20"/>
        </w:rPr>
        <w:t>Gupta, V.K., Gupta, B., Rastogi, A., Agarwal, S.</w:t>
      </w:r>
      <w:r w:rsidR="00507090">
        <w:rPr>
          <w:sz w:val="20"/>
          <w:szCs w:val="20"/>
        </w:rPr>
        <w:t>,</w:t>
      </w:r>
      <w:r w:rsidRPr="00320513">
        <w:rPr>
          <w:sz w:val="20"/>
          <w:szCs w:val="20"/>
        </w:rPr>
        <w:t xml:space="preserve"> and Nayak, A. (2011)</w:t>
      </w:r>
      <w:r w:rsidR="00507090">
        <w:rPr>
          <w:sz w:val="20"/>
          <w:szCs w:val="20"/>
        </w:rPr>
        <w:t>.</w:t>
      </w:r>
      <w:r w:rsidRPr="00320513">
        <w:rPr>
          <w:sz w:val="20"/>
          <w:szCs w:val="20"/>
        </w:rPr>
        <w:t xml:space="preserve"> </w:t>
      </w:r>
      <w:r w:rsidRPr="000E7C45">
        <w:rPr>
          <w:i/>
          <w:sz w:val="20"/>
          <w:szCs w:val="20"/>
        </w:rPr>
        <w:t xml:space="preserve">Pesticides </w:t>
      </w:r>
      <w:r w:rsidR="00507090">
        <w:rPr>
          <w:i/>
          <w:sz w:val="20"/>
          <w:szCs w:val="20"/>
        </w:rPr>
        <w:t>Removal from Waste Water by Activated Carbon Prepared f</w:t>
      </w:r>
      <w:r w:rsidR="00507090" w:rsidRPr="000E7C45">
        <w:rPr>
          <w:i/>
          <w:sz w:val="20"/>
          <w:szCs w:val="20"/>
        </w:rPr>
        <w:t>rom Waste Rubber Tire</w:t>
      </w:r>
      <w:r w:rsidR="00507090" w:rsidRPr="00320513">
        <w:rPr>
          <w:sz w:val="20"/>
          <w:szCs w:val="20"/>
        </w:rPr>
        <w:t xml:space="preserve">. </w:t>
      </w:r>
      <w:r w:rsidRPr="000E7C45">
        <w:rPr>
          <w:sz w:val="20"/>
          <w:szCs w:val="20"/>
        </w:rPr>
        <w:t>Water Research</w:t>
      </w:r>
      <w:r w:rsidRPr="00320513">
        <w:rPr>
          <w:sz w:val="20"/>
          <w:szCs w:val="20"/>
        </w:rPr>
        <w:t xml:space="preserve"> 45: 4047-4055.</w:t>
      </w:r>
    </w:p>
    <w:p w:rsidR="00320513" w:rsidRPr="00320513" w:rsidRDefault="00320513" w:rsidP="00256E05">
      <w:pPr>
        <w:adjustRightInd w:val="0"/>
        <w:ind w:left="360" w:hanging="360"/>
        <w:jc w:val="both"/>
        <w:rPr>
          <w:sz w:val="20"/>
          <w:szCs w:val="20"/>
        </w:rPr>
      </w:pPr>
      <w:r w:rsidRPr="00320513">
        <w:rPr>
          <w:sz w:val="20"/>
          <w:szCs w:val="20"/>
        </w:rPr>
        <w:t>Ho, Y.S.</w:t>
      </w:r>
      <w:r w:rsidR="00507090">
        <w:rPr>
          <w:sz w:val="20"/>
          <w:szCs w:val="20"/>
        </w:rPr>
        <w:t>,</w:t>
      </w:r>
      <w:r w:rsidRPr="00320513">
        <w:rPr>
          <w:sz w:val="20"/>
          <w:szCs w:val="20"/>
        </w:rPr>
        <w:t xml:space="preserve"> and McKay, G. (1998)</w:t>
      </w:r>
      <w:r w:rsidR="00507090">
        <w:rPr>
          <w:sz w:val="20"/>
          <w:szCs w:val="20"/>
        </w:rPr>
        <w:t>.</w:t>
      </w:r>
      <w:r w:rsidRPr="00320513">
        <w:rPr>
          <w:sz w:val="20"/>
          <w:szCs w:val="20"/>
        </w:rPr>
        <w:t xml:space="preserve"> </w:t>
      </w:r>
      <w:r w:rsidRPr="000E7C45">
        <w:rPr>
          <w:i/>
          <w:sz w:val="20"/>
          <w:szCs w:val="20"/>
        </w:rPr>
        <w:t xml:space="preserve">Sorption of </w:t>
      </w:r>
      <w:r w:rsidR="00507090">
        <w:rPr>
          <w:i/>
          <w:sz w:val="20"/>
          <w:szCs w:val="20"/>
        </w:rPr>
        <w:t>Dye from Aqueous Solution b</w:t>
      </w:r>
      <w:r w:rsidR="00507090" w:rsidRPr="000E7C45">
        <w:rPr>
          <w:i/>
          <w:sz w:val="20"/>
          <w:szCs w:val="20"/>
        </w:rPr>
        <w:t>y Peat</w:t>
      </w:r>
      <w:r w:rsidR="00507090" w:rsidRPr="00320513">
        <w:rPr>
          <w:sz w:val="20"/>
          <w:szCs w:val="20"/>
        </w:rPr>
        <w:t xml:space="preserve">. </w:t>
      </w:r>
      <w:r w:rsidRPr="000E7C45">
        <w:rPr>
          <w:sz w:val="20"/>
          <w:szCs w:val="20"/>
        </w:rPr>
        <w:t>Chemical Engineering Journal</w:t>
      </w:r>
      <w:r w:rsidR="00507090">
        <w:rPr>
          <w:sz w:val="20"/>
          <w:szCs w:val="20"/>
        </w:rPr>
        <w:t xml:space="preserve"> </w:t>
      </w:r>
      <w:r w:rsidRPr="00320513">
        <w:rPr>
          <w:sz w:val="20"/>
          <w:szCs w:val="20"/>
        </w:rPr>
        <w:t>70: 115-124.</w:t>
      </w:r>
    </w:p>
    <w:p w:rsidR="00320513" w:rsidRPr="00320513" w:rsidRDefault="00320513" w:rsidP="00256E05">
      <w:pPr>
        <w:adjustRightInd w:val="0"/>
        <w:ind w:left="360" w:hanging="360"/>
        <w:jc w:val="both"/>
        <w:rPr>
          <w:sz w:val="20"/>
          <w:szCs w:val="20"/>
        </w:rPr>
      </w:pPr>
      <w:r w:rsidRPr="00320513">
        <w:rPr>
          <w:sz w:val="20"/>
          <w:szCs w:val="20"/>
        </w:rPr>
        <w:t>Jamil, T.S., Gad-Allah, T.A., Ibrahim, H.S.</w:t>
      </w:r>
      <w:r w:rsidR="00507090">
        <w:rPr>
          <w:sz w:val="20"/>
          <w:szCs w:val="20"/>
        </w:rPr>
        <w:t>,</w:t>
      </w:r>
      <w:r w:rsidRPr="00320513">
        <w:rPr>
          <w:sz w:val="20"/>
          <w:szCs w:val="20"/>
        </w:rPr>
        <w:t xml:space="preserve"> and Saleh, T.S. (2011)</w:t>
      </w:r>
      <w:r w:rsidR="00507090">
        <w:rPr>
          <w:sz w:val="20"/>
          <w:szCs w:val="20"/>
        </w:rPr>
        <w:t>.</w:t>
      </w:r>
      <w:r w:rsidRPr="00320513">
        <w:rPr>
          <w:sz w:val="20"/>
          <w:szCs w:val="20"/>
        </w:rPr>
        <w:t xml:space="preserve"> </w:t>
      </w:r>
      <w:r w:rsidRPr="000E7C45">
        <w:rPr>
          <w:i/>
          <w:sz w:val="20"/>
          <w:szCs w:val="20"/>
        </w:rPr>
        <w:t xml:space="preserve">Adsorption and </w:t>
      </w:r>
      <w:r w:rsidR="00507090">
        <w:rPr>
          <w:i/>
          <w:sz w:val="20"/>
          <w:szCs w:val="20"/>
        </w:rPr>
        <w:t>Isothermal Models of Atrazine by Zeolite Prepared f</w:t>
      </w:r>
      <w:r w:rsidR="00507090" w:rsidRPr="000E7C45">
        <w:rPr>
          <w:i/>
          <w:sz w:val="20"/>
          <w:szCs w:val="20"/>
        </w:rPr>
        <w:t xml:space="preserve">rom </w:t>
      </w:r>
      <w:r w:rsidRPr="000E7C45">
        <w:rPr>
          <w:i/>
          <w:sz w:val="20"/>
          <w:szCs w:val="20"/>
        </w:rPr>
        <w:t xml:space="preserve">Egyptian </w:t>
      </w:r>
      <w:r w:rsidR="00507090" w:rsidRPr="000E7C45">
        <w:rPr>
          <w:i/>
          <w:sz w:val="20"/>
          <w:szCs w:val="20"/>
        </w:rPr>
        <w:t>Kaolin</w:t>
      </w:r>
      <w:r w:rsidR="00507090" w:rsidRPr="00320513">
        <w:rPr>
          <w:sz w:val="20"/>
          <w:szCs w:val="20"/>
        </w:rPr>
        <w:t xml:space="preserve">. </w:t>
      </w:r>
      <w:r w:rsidRPr="000E7C45">
        <w:rPr>
          <w:sz w:val="20"/>
          <w:szCs w:val="20"/>
        </w:rPr>
        <w:t>Solid State Science</w:t>
      </w:r>
      <w:r w:rsidRPr="00320513">
        <w:rPr>
          <w:sz w:val="20"/>
          <w:szCs w:val="20"/>
        </w:rPr>
        <w:t xml:space="preserve"> 13: 198-203.</w:t>
      </w:r>
    </w:p>
    <w:p w:rsidR="00320513" w:rsidRPr="00320513" w:rsidRDefault="00320513" w:rsidP="00256E05">
      <w:pPr>
        <w:adjustRightInd w:val="0"/>
        <w:ind w:left="360" w:hanging="360"/>
        <w:jc w:val="both"/>
        <w:rPr>
          <w:sz w:val="20"/>
          <w:szCs w:val="20"/>
        </w:rPr>
      </w:pPr>
      <w:r w:rsidRPr="00320513">
        <w:rPr>
          <w:sz w:val="20"/>
          <w:szCs w:val="20"/>
        </w:rPr>
        <w:t>Kannan, N.</w:t>
      </w:r>
      <w:r w:rsidR="00507090">
        <w:rPr>
          <w:sz w:val="20"/>
          <w:szCs w:val="20"/>
        </w:rPr>
        <w:t>,</w:t>
      </w:r>
      <w:r w:rsidRPr="00320513">
        <w:rPr>
          <w:sz w:val="20"/>
          <w:szCs w:val="20"/>
        </w:rPr>
        <w:t xml:space="preserve"> and Sundaram, M.M. (2001)</w:t>
      </w:r>
      <w:r w:rsidR="00507090">
        <w:rPr>
          <w:sz w:val="20"/>
          <w:szCs w:val="20"/>
        </w:rPr>
        <w:t>.</w:t>
      </w:r>
      <w:r w:rsidRPr="00320513">
        <w:rPr>
          <w:sz w:val="20"/>
          <w:szCs w:val="20"/>
        </w:rPr>
        <w:t xml:space="preserve"> </w:t>
      </w:r>
      <w:r w:rsidRPr="000E7C45">
        <w:rPr>
          <w:i/>
          <w:sz w:val="20"/>
          <w:szCs w:val="20"/>
        </w:rPr>
        <w:t xml:space="preserve">Kinetics and </w:t>
      </w:r>
      <w:r w:rsidR="00507090">
        <w:rPr>
          <w:i/>
          <w:sz w:val="20"/>
          <w:szCs w:val="20"/>
        </w:rPr>
        <w:t>Mechanism of Removal of Methylene Blue by Adsorption o</w:t>
      </w:r>
      <w:r w:rsidR="00507090" w:rsidRPr="000E7C45">
        <w:rPr>
          <w:i/>
          <w:sz w:val="20"/>
          <w:szCs w:val="20"/>
        </w:rPr>
        <w:t>n Various Carbons - A Comparative Study</w:t>
      </w:r>
      <w:r w:rsidR="00507090" w:rsidRPr="00320513">
        <w:rPr>
          <w:sz w:val="20"/>
          <w:szCs w:val="20"/>
        </w:rPr>
        <w:t>.</w:t>
      </w:r>
      <w:r w:rsidRPr="00320513">
        <w:rPr>
          <w:sz w:val="20"/>
          <w:szCs w:val="20"/>
        </w:rPr>
        <w:t xml:space="preserve"> </w:t>
      </w:r>
      <w:r w:rsidRPr="000E7C45">
        <w:rPr>
          <w:sz w:val="20"/>
          <w:szCs w:val="20"/>
        </w:rPr>
        <w:t>Dyes and Pigments</w:t>
      </w:r>
      <w:r w:rsidRPr="00320513">
        <w:rPr>
          <w:sz w:val="20"/>
          <w:szCs w:val="20"/>
        </w:rPr>
        <w:t xml:space="preserve"> 51: 25-40.</w:t>
      </w:r>
    </w:p>
    <w:p w:rsidR="00320513" w:rsidRPr="00320513" w:rsidRDefault="00320513" w:rsidP="00256E05">
      <w:pPr>
        <w:adjustRightInd w:val="0"/>
        <w:ind w:left="360" w:hanging="360"/>
        <w:jc w:val="both"/>
        <w:rPr>
          <w:sz w:val="20"/>
          <w:szCs w:val="20"/>
        </w:rPr>
      </w:pPr>
      <w:r w:rsidRPr="00320513">
        <w:rPr>
          <w:sz w:val="20"/>
          <w:szCs w:val="20"/>
        </w:rPr>
        <w:t>Langmuir, I. (1918)</w:t>
      </w:r>
      <w:r w:rsidR="00507090">
        <w:rPr>
          <w:sz w:val="20"/>
          <w:szCs w:val="20"/>
        </w:rPr>
        <w:t>.</w:t>
      </w:r>
      <w:r w:rsidRPr="00320513">
        <w:rPr>
          <w:sz w:val="20"/>
          <w:szCs w:val="20"/>
        </w:rPr>
        <w:t xml:space="preserve"> </w:t>
      </w:r>
      <w:r w:rsidRPr="000E7C45">
        <w:rPr>
          <w:i/>
          <w:sz w:val="20"/>
          <w:szCs w:val="20"/>
        </w:rPr>
        <w:t xml:space="preserve">The </w:t>
      </w:r>
      <w:r w:rsidR="00507090">
        <w:rPr>
          <w:i/>
          <w:sz w:val="20"/>
          <w:szCs w:val="20"/>
        </w:rPr>
        <w:t>Adsorption of Gases on the Plane Surfaces of Glass, Mica a</w:t>
      </w:r>
      <w:r w:rsidR="00507090" w:rsidRPr="000E7C45">
        <w:rPr>
          <w:i/>
          <w:sz w:val="20"/>
          <w:szCs w:val="20"/>
        </w:rPr>
        <w:t>nd Platinum</w:t>
      </w:r>
      <w:r w:rsidRPr="00320513">
        <w:rPr>
          <w:sz w:val="20"/>
          <w:szCs w:val="20"/>
        </w:rPr>
        <w:t xml:space="preserve">. </w:t>
      </w:r>
      <w:r w:rsidRPr="000E7C45">
        <w:rPr>
          <w:sz w:val="20"/>
          <w:szCs w:val="20"/>
        </w:rPr>
        <w:t>Journal of American Chemistry Society</w:t>
      </w:r>
      <w:r w:rsidRPr="00320513">
        <w:rPr>
          <w:sz w:val="20"/>
          <w:szCs w:val="20"/>
        </w:rPr>
        <w:t xml:space="preserve"> 40: 1361-1403.</w:t>
      </w:r>
    </w:p>
    <w:p w:rsidR="00320513" w:rsidRPr="00320513" w:rsidRDefault="00320513" w:rsidP="00256E05">
      <w:pPr>
        <w:adjustRightInd w:val="0"/>
        <w:ind w:left="360" w:hanging="360"/>
        <w:jc w:val="both"/>
        <w:rPr>
          <w:sz w:val="20"/>
          <w:szCs w:val="20"/>
        </w:rPr>
      </w:pPr>
      <w:r w:rsidRPr="00320513">
        <w:rPr>
          <w:bCs/>
          <w:sz w:val="20"/>
          <w:szCs w:val="20"/>
        </w:rPr>
        <w:t>Ligy, P.</w:t>
      </w:r>
      <w:r w:rsidR="00507090">
        <w:rPr>
          <w:bCs/>
          <w:sz w:val="20"/>
          <w:szCs w:val="20"/>
        </w:rPr>
        <w:t>,</w:t>
      </w:r>
      <w:r w:rsidRPr="00320513">
        <w:rPr>
          <w:bCs/>
          <w:sz w:val="20"/>
          <w:szCs w:val="20"/>
        </w:rPr>
        <w:t xml:space="preserve"> and Pranab, K.G. (2006)</w:t>
      </w:r>
      <w:r w:rsidR="00507090">
        <w:rPr>
          <w:bCs/>
          <w:sz w:val="20"/>
          <w:szCs w:val="20"/>
        </w:rPr>
        <w:t>.</w:t>
      </w:r>
      <w:r w:rsidRPr="00320513">
        <w:rPr>
          <w:bCs/>
          <w:sz w:val="20"/>
          <w:szCs w:val="20"/>
        </w:rPr>
        <w:t xml:space="preserve"> </w:t>
      </w:r>
      <w:r w:rsidRPr="000E7C45">
        <w:rPr>
          <w:bCs/>
          <w:i/>
          <w:sz w:val="20"/>
          <w:szCs w:val="20"/>
        </w:rPr>
        <w:t xml:space="preserve">Environmental </w:t>
      </w:r>
      <w:r w:rsidR="00507090">
        <w:rPr>
          <w:bCs/>
          <w:i/>
          <w:sz w:val="20"/>
          <w:szCs w:val="20"/>
        </w:rPr>
        <w:t>Significance of Atrazine in Aqueous Systems and Its Removal b</w:t>
      </w:r>
      <w:r w:rsidR="00507090" w:rsidRPr="000E7C45">
        <w:rPr>
          <w:bCs/>
          <w:i/>
          <w:sz w:val="20"/>
          <w:szCs w:val="20"/>
        </w:rPr>
        <w:t>y Biological Processes: An Overview</w:t>
      </w:r>
      <w:r w:rsidR="00507090" w:rsidRPr="00320513">
        <w:rPr>
          <w:bCs/>
          <w:sz w:val="20"/>
          <w:szCs w:val="20"/>
        </w:rPr>
        <w:t xml:space="preserve">. </w:t>
      </w:r>
      <w:r w:rsidRPr="000E7C45">
        <w:rPr>
          <w:bCs/>
          <w:sz w:val="20"/>
          <w:szCs w:val="20"/>
        </w:rPr>
        <w:t>Global NEST Journal</w:t>
      </w:r>
      <w:r w:rsidRPr="00320513">
        <w:rPr>
          <w:bCs/>
          <w:sz w:val="20"/>
          <w:szCs w:val="20"/>
        </w:rPr>
        <w:t xml:space="preserve"> 8: 159-178.</w:t>
      </w:r>
    </w:p>
    <w:p w:rsidR="00320513" w:rsidRPr="00320513" w:rsidRDefault="00320513" w:rsidP="00256E05">
      <w:pPr>
        <w:adjustRightInd w:val="0"/>
        <w:ind w:left="360" w:hanging="360"/>
        <w:jc w:val="both"/>
        <w:rPr>
          <w:sz w:val="20"/>
          <w:szCs w:val="20"/>
        </w:rPr>
      </w:pPr>
      <w:r w:rsidRPr="00320513">
        <w:rPr>
          <w:sz w:val="20"/>
          <w:szCs w:val="20"/>
        </w:rPr>
        <w:t>Mudhoo, A.</w:t>
      </w:r>
      <w:r w:rsidR="00507090">
        <w:rPr>
          <w:sz w:val="20"/>
          <w:szCs w:val="20"/>
        </w:rPr>
        <w:t>,</w:t>
      </w:r>
      <w:r w:rsidRPr="00320513">
        <w:rPr>
          <w:sz w:val="20"/>
          <w:szCs w:val="20"/>
        </w:rPr>
        <w:t xml:space="preserve"> and Garg, V.K. (2011)</w:t>
      </w:r>
      <w:r w:rsidR="00507090">
        <w:rPr>
          <w:sz w:val="20"/>
          <w:szCs w:val="20"/>
        </w:rPr>
        <w:t>.</w:t>
      </w:r>
      <w:r w:rsidRPr="00320513">
        <w:rPr>
          <w:sz w:val="20"/>
          <w:szCs w:val="20"/>
        </w:rPr>
        <w:t xml:space="preserve"> </w:t>
      </w:r>
      <w:r w:rsidRPr="000E7C45">
        <w:rPr>
          <w:i/>
          <w:sz w:val="20"/>
          <w:szCs w:val="20"/>
        </w:rPr>
        <w:t xml:space="preserve">Sorption, </w:t>
      </w:r>
      <w:r w:rsidR="00507090">
        <w:rPr>
          <w:i/>
          <w:sz w:val="20"/>
          <w:szCs w:val="20"/>
        </w:rPr>
        <w:t>Transport and Transformation of Atrazine in Soils, Minerals a</w:t>
      </w:r>
      <w:r w:rsidR="00507090" w:rsidRPr="000E7C45">
        <w:rPr>
          <w:i/>
          <w:sz w:val="20"/>
          <w:szCs w:val="20"/>
        </w:rPr>
        <w:t>nd Composts: A Review</w:t>
      </w:r>
      <w:r w:rsidR="00507090" w:rsidRPr="00320513">
        <w:rPr>
          <w:sz w:val="20"/>
          <w:szCs w:val="20"/>
        </w:rPr>
        <w:t xml:space="preserve">. </w:t>
      </w:r>
      <w:r w:rsidRPr="000E7C45">
        <w:rPr>
          <w:sz w:val="20"/>
          <w:szCs w:val="20"/>
        </w:rPr>
        <w:t>Pedosphere</w:t>
      </w:r>
      <w:r w:rsidRPr="00320513">
        <w:rPr>
          <w:sz w:val="20"/>
          <w:szCs w:val="20"/>
        </w:rPr>
        <w:t xml:space="preserve"> 21: 11-25.</w:t>
      </w:r>
    </w:p>
    <w:p w:rsidR="00320513" w:rsidRPr="00320513" w:rsidRDefault="00320513" w:rsidP="00256E05">
      <w:pPr>
        <w:adjustRightInd w:val="0"/>
        <w:ind w:left="360" w:hanging="360"/>
        <w:jc w:val="both"/>
        <w:rPr>
          <w:sz w:val="20"/>
          <w:szCs w:val="20"/>
        </w:rPr>
      </w:pPr>
      <w:r w:rsidRPr="00320513">
        <w:rPr>
          <w:rFonts w:eastAsia="TimesNewRoman"/>
          <w:sz w:val="20"/>
          <w:szCs w:val="20"/>
        </w:rPr>
        <w:t>Namasivayam, C.,</w:t>
      </w:r>
      <w:r w:rsidRPr="00320513">
        <w:rPr>
          <w:sz w:val="20"/>
          <w:szCs w:val="20"/>
        </w:rPr>
        <w:t xml:space="preserve"> </w:t>
      </w:r>
      <w:r w:rsidRPr="00320513">
        <w:rPr>
          <w:rFonts w:eastAsia="TimesNewRoman"/>
          <w:sz w:val="20"/>
          <w:szCs w:val="20"/>
        </w:rPr>
        <w:t>Prabha</w:t>
      </w:r>
      <w:r w:rsidRPr="00320513">
        <w:rPr>
          <w:sz w:val="20"/>
          <w:szCs w:val="20"/>
        </w:rPr>
        <w:t>,</w:t>
      </w:r>
      <w:r w:rsidRPr="00320513">
        <w:rPr>
          <w:rFonts w:eastAsia="TimesNewRoman"/>
          <w:sz w:val="20"/>
          <w:szCs w:val="20"/>
        </w:rPr>
        <w:t xml:space="preserve"> D.</w:t>
      </w:r>
      <w:r w:rsidR="00507090">
        <w:rPr>
          <w:rFonts w:eastAsia="TimesNewRoman"/>
          <w:sz w:val="20"/>
          <w:szCs w:val="20"/>
        </w:rPr>
        <w:t>,</w:t>
      </w:r>
      <w:r w:rsidRPr="00320513">
        <w:rPr>
          <w:rFonts w:eastAsia="TimesNewRoman"/>
          <w:sz w:val="20"/>
          <w:szCs w:val="20"/>
        </w:rPr>
        <w:t xml:space="preserve"> and Kumutha</w:t>
      </w:r>
      <w:r w:rsidRPr="00320513">
        <w:rPr>
          <w:sz w:val="20"/>
          <w:szCs w:val="20"/>
        </w:rPr>
        <w:t>,</w:t>
      </w:r>
      <w:r w:rsidRPr="00320513">
        <w:rPr>
          <w:rFonts w:eastAsia="TimesNewRoman"/>
          <w:sz w:val="20"/>
          <w:szCs w:val="20"/>
        </w:rPr>
        <w:t xml:space="preserve"> M. (1998)</w:t>
      </w:r>
      <w:r w:rsidR="00507090">
        <w:rPr>
          <w:rFonts w:eastAsia="TimesNewRoman"/>
          <w:sz w:val="20"/>
          <w:szCs w:val="20"/>
        </w:rPr>
        <w:t xml:space="preserve">. </w:t>
      </w:r>
      <w:r w:rsidRPr="000E7C45">
        <w:rPr>
          <w:rFonts w:eastAsia="TimesNewRoman"/>
          <w:i/>
          <w:sz w:val="20"/>
          <w:szCs w:val="20"/>
        </w:rPr>
        <w:t xml:space="preserve">Removal of </w:t>
      </w:r>
      <w:r w:rsidR="00507090" w:rsidRPr="000E7C45">
        <w:rPr>
          <w:rFonts w:eastAsia="TimesNewRoman"/>
          <w:i/>
          <w:sz w:val="20"/>
          <w:szCs w:val="20"/>
        </w:rPr>
        <w:t>Direct</w:t>
      </w:r>
      <w:r w:rsidR="00507090" w:rsidRPr="000E7C45">
        <w:rPr>
          <w:i/>
          <w:sz w:val="20"/>
          <w:szCs w:val="20"/>
        </w:rPr>
        <w:t xml:space="preserve"> </w:t>
      </w:r>
      <w:r w:rsidR="00507090">
        <w:rPr>
          <w:rFonts w:eastAsia="TimesNewRoman"/>
          <w:i/>
          <w:sz w:val="20"/>
          <w:szCs w:val="20"/>
        </w:rPr>
        <w:t>Red and Acid Brilliant Blue by Adsorption on t</w:t>
      </w:r>
      <w:r w:rsidR="00507090" w:rsidRPr="000E7C45">
        <w:rPr>
          <w:rFonts w:eastAsia="TimesNewRoman"/>
          <w:i/>
          <w:sz w:val="20"/>
          <w:szCs w:val="20"/>
        </w:rPr>
        <w:t>o Banana Pith</w:t>
      </w:r>
      <w:r w:rsidR="00507090" w:rsidRPr="00320513">
        <w:rPr>
          <w:sz w:val="20"/>
          <w:szCs w:val="20"/>
        </w:rPr>
        <w:t>.</w:t>
      </w:r>
      <w:r w:rsidR="00507090" w:rsidRPr="00320513">
        <w:rPr>
          <w:rFonts w:eastAsia="TimesNewRoman"/>
          <w:sz w:val="20"/>
          <w:szCs w:val="20"/>
        </w:rPr>
        <w:t xml:space="preserve"> </w:t>
      </w:r>
      <w:r w:rsidRPr="000E7C45">
        <w:rPr>
          <w:rFonts w:eastAsia="TimesNewRoman"/>
          <w:iCs/>
          <w:sz w:val="20"/>
          <w:szCs w:val="20"/>
        </w:rPr>
        <w:t>Bioresource</w:t>
      </w:r>
      <w:r w:rsidRPr="000E7C45">
        <w:rPr>
          <w:sz w:val="20"/>
          <w:szCs w:val="20"/>
        </w:rPr>
        <w:t xml:space="preserve"> </w:t>
      </w:r>
      <w:r w:rsidRPr="000E7C45">
        <w:rPr>
          <w:rFonts w:eastAsia="TimesNewRoman"/>
          <w:iCs/>
          <w:sz w:val="20"/>
          <w:szCs w:val="20"/>
        </w:rPr>
        <w:t>Technology</w:t>
      </w:r>
      <w:r w:rsidRPr="00320513">
        <w:rPr>
          <w:rFonts w:eastAsia="TimesNewRoman"/>
          <w:sz w:val="20"/>
          <w:szCs w:val="20"/>
        </w:rPr>
        <w:t xml:space="preserve"> 64</w:t>
      </w:r>
      <w:r w:rsidRPr="00320513">
        <w:rPr>
          <w:sz w:val="20"/>
          <w:szCs w:val="20"/>
        </w:rPr>
        <w:t>:</w:t>
      </w:r>
      <w:r w:rsidRPr="00320513">
        <w:rPr>
          <w:rFonts w:eastAsia="TimesNewRoman"/>
          <w:sz w:val="20"/>
          <w:szCs w:val="20"/>
        </w:rPr>
        <w:t xml:space="preserve"> 77–79.</w:t>
      </w:r>
    </w:p>
    <w:p w:rsidR="00320513" w:rsidRPr="00320513" w:rsidRDefault="00320513" w:rsidP="00256E05">
      <w:pPr>
        <w:adjustRightInd w:val="0"/>
        <w:ind w:left="360" w:hanging="360"/>
        <w:jc w:val="both"/>
        <w:rPr>
          <w:sz w:val="20"/>
          <w:szCs w:val="20"/>
        </w:rPr>
      </w:pPr>
      <w:r w:rsidRPr="00320513">
        <w:rPr>
          <w:sz w:val="20"/>
          <w:szCs w:val="20"/>
        </w:rPr>
        <w:t>Rafique, U.</w:t>
      </w:r>
      <w:r w:rsidR="00507090">
        <w:rPr>
          <w:sz w:val="20"/>
          <w:szCs w:val="20"/>
        </w:rPr>
        <w:t>,</w:t>
      </w:r>
      <w:r w:rsidRPr="00320513">
        <w:rPr>
          <w:sz w:val="20"/>
          <w:szCs w:val="20"/>
        </w:rPr>
        <w:t xml:space="preserve"> and Nasreen, S. (2011)</w:t>
      </w:r>
      <w:r w:rsidR="00507090">
        <w:rPr>
          <w:sz w:val="20"/>
          <w:szCs w:val="20"/>
        </w:rPr>
        <w:t xml:space="preserve">. </w:t>
      </w:r>
      <w:r w:rsidRPr="000E7C45">
        <w:rPr>
          <w:i/>
          <w:sz w:val="20"/>
          <w:szCs w:val="20"/>
        </w:rPr>
        <w:t xml:space="preserve">Decontamination of 2, 4-D and </w:t>
      </w:r>
      <w:r w:rsidR="00507090">
        <w:rPr>
          <w:i/>
          <w:sz w:val="20"/>
          <w:szCs w:val="20"/>
        </w:rPr>
        <w:t>Atrazine Through Adsorption o</w:t>
      </w:r>
      <w:r w:rsidR="00507090" w:rsidRPr="000E7C45">
        <w:rPr>
          <w:i/>
          <w:sz w:val="20"/>
          <w:szCs w:val="20"/>
        </w:rPr>
        <w:t>n Soil</w:t>
      </w:r>
      <w:r w:rsidR="00507090">
        <w:rPr>
          <w:i/>
          <w:sz w:val="20"/>
          <w:szCs w:val="20"/>
        </w:rPr>
        <w:t xml:space="preserve"> Under Different Modifications and Its Kinetic a</w:t>
      </w:r>
      <w:r w:rsidR="00507090" w:rsidRPr="000E7C45">
        <w:rPr>
          <w:i/>
          <w:sz w:val="20"/>
          <w:szCs w:val="20"/>
        </w:rPr>
        <w:t>nd Equilibrium Studies</w:t>
      </w:r>
      <w:r w:rsidRPr="00320513">
        <w:rPr>
          <w:sz w:val="20"/>
          <w:szCs w:val="20"/>
        </w:rPr>
        <w:t xml:space="preserve">. </w:t>
      </w:r>
      <w:r w:rsidRPr="000E7C45">
        <w:rPr>
          <w:sz w:val="20"/>
          <w:szCs w:val="20"/>
        </w:rPr>
        <w:t>International Journal of Chemical and Environmental Engineering</w:t>
      </w:r>
      <w:r w:rsidRPr="00320513">
        <w:rPr>
          <w:sz w:val="20"/>
          <w:szCs w:val="20"/>
        </w:rPr>
        <w:t xml:space="preserve"> 2: 227-233.</w:t>
      </w:r>
    </w:p>
    <w:p w:rsidR="00320513" w:rsidRPr="00320513" w:rsidRDefault="00320513" w:rsidP="00256E05">
      <w:pPr>
        <w:adjustRightInd w:val="0"/>
        <w:ind w:left="360" w:hanging="360"/>
        <w:jc w:val="both"/>
        <w:rPr>
          <w:sz w:val="20"/>
          <w:szCs w:val="20"/>
        </w:rPr>
      </w:pPr>
      <w:r w:rsidRPr="00320513">
        <w:rPr>
          <w:sz w:val="20"/>
          <w:szCs w:val="20"/>
        </w:rPr>
        <w:t>Salman, J.M., Njoku, V.O.</w:t>
      </w:r>
      <w:r w:rsidR="007A6738">
        <w:rPr>
          <w:sz w:val="20"/>
          <w:szCs w:val="20"/>
        </w:rPr>
        <w:t>,</w:t>
      </w:r>
      <w:r w:rsidRPr="00320513">
        <w:rPr>
          <w:sz w:val="20"/>
          <w:szCs w:val="20"/>
        </w:rPr>
        <w:t xml:space="preserve"> and Hameed, B.H. (2011)</w:t>
      </w:r>
      <w:r w:rsidR="007A6738">
        <w:rPr>
          <w:sz w:val="20"/>
          <w:szCs w:val="20"/>
        </w:rPr>
        <w:t>.</w:t>
      </w:r>
      <w:r w:rsidRPr="00320513">
        <w:rPr>
          <w:sz w:val="20"/>
          <w:szCs w:val="20"/>
        </w:rPr>
        <w:t xml:space="preserve"> </w:t>
      </w:r>
      <w:r w:rsidRPr="000E7C45">
        <w:rPr>
          <w:i/>
          <w:sz w:val="20"/>
          <w:szCs w:val="20"/>
        </w:rPr>
        <w:t>B</w:t>
      </w:r>
      <w:r w:rsidRPr="000E7C45">
        <w:rPr>
          <w:rFonts w:eastAsia="GulliverRM"/>
          <w:i/>
          <w:sz w:val="20"/>
          <w:szCs w:val="20"/>
        </w:rPr>
        <w:t xml:space="preserve">entazon and </w:t>
      </w:r>
      <w:r w:rsidR="007A6738">
        <w:rPr>
          <w:rFonts w:eastAsia="GulliverRM"/>
          <w:i/>
          <w:sz w:val="20"/>
          <w:szCs w:val="20"/>
        </w:rPr>
        <w:t>Carbofuran Adsorption o</w:t>
      </w:r>
      <w:r w:rsidR="007A6738" w:rsidRPr="000E7C45">
        <w:rPr>
          <w:rFonts w:eastAsia="GulliverRM"/>
          <w:i/>
          <w:sz w:val="20"/>
          <w:szCs w:val="20"/>
        </w:rPr>
        <w:t>nto Date S</w:t>
      </w:r>
      <w:r w:rsidR="007A6738">
        <w:rPr>
          <w:rFonts w:eastAsia="GulliverRM"/>
          <w:i/>
          <w:sz w:val="20"/>
          <w:szCs w:val="20"/>
        </w:rPr>
        <w:t>eed Activated Carbon: Kinetics a</w:t>
      </w:r>
      <w:r w:rsidR="007A6738" w:rsidRPr="000E7C45">
        <w:rPr>
          <w:rFonts w:eastAsia="GulliverRM"/>
          <w:i/>
          <w:sz w:val="20"/>
          <w:szCs w:val="20"/>
        </w:rPr>
        <w:t>nd Equilibrium</w:t>
      </w:r>
      <w:r w:rsidR="007A6738" w:rsidRPr="00320513">
        <w:rPr>
          <w:rFonts w:eastAsia="GulliverRM"/>
          <w:sz w:val="20"/>
          <w:szCs w:val="20"/>
        </w:rPr>
        <w:t xml:space="preserve">. </w:t>
      </w:r>
      <w:r w:rsidRPr="000E7C45">
        <w:rPr>
          <w:rFonts w:eastAsia="GulliverRM"/>
          <w:sz w:val="20"/>
          <w:szCs w:val="20"/>
        </w:rPr>
        <w:t>Chemical Engineering Journal</w:t>
      </w:r>
      <w:r w:rsidRPr="00320513">
        <w:rPr>
          <w:rFonts w:eastAsia="GulliverRM"/>
          <w:sz w:val="20"/>
          <w:szCs w:val="20"/>
        </w:rPr>
        <w:t xml:space="preserve"> 173: 361-368.</w:t>
      </w:r>
    </w:p>
    <w:p w:rsidR="00320513" w:rsidRPr="00320513" w:rsidRDefault="00320513" w:rsidP="00256E05">
      <w:pPr>
        <w:adjustRightInd w:val="0"/>
        <w:ind w:left="360" w:hanging="360"/>
        <w:jc w:val="both"/>
        <w:rPr>
          <w:sz w:val="20"/>
          <w:szCs w:val="20"/>
        </w:rPr>
      </w:pPr>
      <w:r w:rsidRPr="00320513">
        <w:rPr>
          <w:sz w:val="20"/>
          <w:szCs w:val="20"/>
        </w:rPr>
        <w:t>Selvaraj, K., Chandramohan, V.</w:t>
      </w:r>
      <w:r w:rsidR="007A6738">
        <w:rPr>
          <w:sz w:val="20"/>
          <w:szCs w:val="20"/>
        </w:rPr>
        <w:t>,</w:t>
      </w:r>
      <w:r w:rsidRPr="00320513">
        <w:rPr>
          <w:sz w:val="20"/>
          <w:szCs w:val="20"/>
        </w:rPr>
        <w:t xml:space="preserve"> and Pattabhi, S. (1997)</w:t>
      </w:r>
      <w:r w:rsidR="007A6738">
        <w:rPr>
          <w:sz w:val="20"/>
          <w:szCs w:val="20"/>
        </w:rPr>
        <w:t>.</w:t>
      </w:r>
      <w:r w:rsidRPr="00320513">
        <w:rPr>
          <w:sz w:val="20"/>
          <w:szCs w:val="20"/>
        </w:rPr>
        <w:t xml:space="preserve"> </w:t>
      </w:r>
      <w:r w:rsidRPr="000E7C45">
        <w:rPr>
          <w:i/>
          <w:sz w:val="20"/>
          <w:szCs w:val="20"/>
        </w:rPr>
        <w:t xml:space="preserve">Removal of Cr (VI) from </w:t>
      </w:r>
      <w:r w:rsidR="007A6738" w:rsidRPr="000E7C45">
        <w:rPr>
          <w:i/>
          <w:sz w:val="20"/>
          <w:szCs w:val="20"/>
        </w:rPr>
        <w:t>Solution</w:t>
      </w:r>
      <w:r w:rsidR="007A6738">
        <w:rPr>
          <w:i/>
          <w:sz w:val="20"/>
          <w:szCs w:val="20"/>
        </w:rPr>
        <w:t xml:space="preserve"> a</w:t>
      </w:r>
      <w:r w:rsidR="007A6738" w:rsidRPr="000E7C45">
        <w:rPr>
          <w:i/>
          <w:sz w:val="20"/>
          <w:szCs w:val="20"/>
        </w:rPr>
        <w:t>nd Chromium Plating Industry Wastewater Using Photofilm Waste Sludge</w:t>
      </w:r>
      <w:r w:rsidR="007A6738" w:rsidRPr="00320513">
        <w:rPr>
          <w:sz w:val="20"/>
          <w:szCs w:val="20"/>
        </w:rPr>
        <w:t>.</w:t>
      </w:r>
      <w:r w:rsidRPr="00320513">
        <w:rPr>
          <w:sz w:val="20"/>
          <w:szCs w:val="20"/>
        </w:rPr>
        <w:t xml:space="preserve"> </w:t>
      </w:r>
      <w:r w:rsidRPr="000E7C45">
        <w:rPr>
          <w:sz w:val="20"/>
          <w:szCs w:val="20"/>
        </w:rPr>
        <w:t>Indian</w:t>
      </w:r>
      <w:r w:rsidR="007A6738">
        <w:rPr>
          <w:sz w:val="20"/>
          <w:szCs w:val="20"/>
        </w:rPr>
        <w:t xml:space="preserve"> Journal of Chemical Technology</w:t>
      </w:r>
      <w:r w:rsidRPr="00320513">
        <w:rPr>
          <w:sz w:val="20"/>
          <w:szCs w:val="20"/>
        </w:rPr>
        <w:t xml:space="preserve"> 18: 641–646.</w:t>
      </w:r>
    </w:p>
    <w:p w:rsidR="00320513" w:rsidRPr="00320513" w:rsidRDefault="00320513" w:rsidP="00256E05">
      <w:pPr>
        <w:adjustRightInd w:val="0"/>
        <w:ind w:left="360" w:hanging="360"/>
        <w:jc w:val="both"/>
        <w:rPr>
          <w:sz w:val="20"/>
          <w:szCs w:val="20"/>
        </w:rPr>
      </w:pPr>
      <w:r w:rsidRPr="00320513">
        <w:rPr>
          <w:sz w:val="20"/>
          <w:szCs w:val="20"/>
        </w:rPr>
        <w:t>Sharma, D.C.</w:t>
      </w:r>
      <w:r w:rsidR="007A6738">
        <w:rPr>
          <w:sz w:val="20"/>
          <w:szCs w:val="20"/>
        </w:rPr>
        <w:t>,</w:t>
      </w:r>
      <w:r w:rsidRPr="00320513">
        <w:rPr>
          <w:sz w:val="20"/>
          <w:szCs w:val="20"/>
        </w:rPr>
        <w:t xml:space="preserve"> and Forster, C.F. (1993)</w:t>
      </w:r>
      <w:r w:rsidR="007A6738">
        <w:rPr>
          <w:sz w:val="20"/>
          <w:szCs w:val="20"/>
        </w:rPr>
        <w:t>.</w:t>
      </w:r>
      <w:r w:rsidRPr="00320513">
        <w:rPr>
          <w:sz w:val="20"/>
          <w:szCs w:val="20"/>
        </w:rPr>
        <w:t xml:space="preserve"> </w:t>
      </w:r>
      <w:r w:rsidRPr="000E7C45">
        <w:rPr>
          <w:i/>
          <w:sz w:val="20"/>
          <w:szCs w:val="20"/>
        </w:rPr>
        <w:t xml:space="preserve">Removal of </w:t>
      </w:r>
      <w:r w:rsidR="007A6738" w:rsidRPr="000E7C45">
        <w:rPr>
          <w:i/>
          <w:sz w:val="20"/>
          <w:szCs w:val="20"/>
        </w:rPr>
        <w:t>Hexavalent Chromium Using Sphagnum Moss Peat</w:t>
      </w:r>
      <w:r w:rsidR="007A6738">
        <w:rPr>
          <w:sz w:val="20"/>
          <w:szCs w:val="20"/>
        </w:rPr>
        <w:t xml:space="preserve">. Water Research </w:t>
      </w:r>
      <w:r w:rsidRPr="00320513">
        <w:rPr>
          <w:sz w:val="20"/>
          <w:szCs w:val="20"/>
        </w:rPr>
        <w:t>27: 1201–1208.</w:t>
      </w:r>
    </w:p>
    <w:p w:rsidR="00320513" w:rsidRPr="00320513" w:rsidRDefault="00320513" w:rsidP="00256E05">
      <w:pPr>
        <w:adjustRightInd w:val="0"/>
        <w:ind w:left="360" w:hanging="360"/>
        <w:jc w:val="both"/>
        <w:rPr>
          <w:sz w:val="20"/>
          <w:szCs w:val="20"/>
        </w:rPr>
      </w:pPr>
      <w:r w:rsidRPr="00320513">
        <w:rPr>
          <w:sz w:val="20"/>
          <w:szCs w:val="20"/>
        </w:rPr>
        <w:t>Topp, E., Vallayes, T.</w:t>
      </w:r>
      <w:r w:rsidR="007A6738">
        <w:rPr>
          <w:sz w:val="20"/>
          <w:szCs w:val="20"/>
        </w:rPr>
        <w:t>,</w:t>
      </w:r>
      <w:r w:rsidRPr="00320513">
        <w:rPr>
          <w:sz w:val="20"/>
          <w:szCs w:val="20"/>
        </w:rPr>
        <w:t xml:space="preserve"> and Soulas, G. (1997)</w:t>
      </w:r>
      <w:r w:rsidR="007A6738">
        <w:rPr>
          <w:sz w:val="20"/>
          <w:szCs w:val="20"/>
        </w:rPr>
        <w:t>.</w:t>
      </w:r>
      <w:r w:rsidRPr="00320513">
        <w:rPr>
          <w:sz w:val="20"/>
          <w:szCs w:val="20"/>
        </w:rPr>
        <w:t xml:space="preserve"> </w:t>
      </w:r>
      <w:r w:rsidRPr="000E7C45">
        <w:rPr>
          <w:i/>
          <w:sz w:val="20"/>
          <w:szCs w:val="20"/>
        </w:rPr>
        <w:t xml:space="preserve">Pesticides: Microbial </w:t>
      </w:r>
      <w:r w:rsidR="007A6738">
        <w:rPr>
          <w:i/>
          <w:sz w:val="20"/>
          <w:szCs w:val="20"/>
        </w:rPr>
        <w:t>Degradation and Effects o</w:t>
      </w:r>
      <w:r w:rsidR="007A6738" w:rsidRPr="000E7C45">
        <w:rPr>
          <w:i/>
          <w:sz w:val="20"/>
          <w:szCs w:val="20"/>
        </w:rPr>
        <w:t>n Microorganisms</w:t>
      </w:r>
      <w:r w:rsidR="007A6738" w:rsidRPr="00320513">
        <w:rPr>
          <w:sz w:val="20"/>
          <w:szCs w:val="20"/>
        </w:rPr>
        <w:t>.</w:t>
      </w:r>
      <w:r w:rsidRPr="00320513">
        <w:rPr>
          <w:sz w:val="20"/>
          <w:szCs w:val="20"/>
        </w:rPr>
        <w:t xml:space="preserve"> in van Elsas, J.D., Trevors, J.T. and Wellington, E.M.H. (eds.), </w:t>
      </w:r>
      <w:r w:rsidRPr="000E7C45">
        <w:rPr>
          <w:sz w:val="20"/>
          <w:szCs w:val="20"/>
        </w:rPr>
        <w:t>Modern Soil  Microbiology</w:t>
      </w:r>
      <w:r w:rsidRPr="00320513">
        <w:rPr>
          <w:sz w:val="20"/>
          <w:szCs w:val="20"/>
        </w:rPr>
        <w:t>, Mercel Dekker, Inc. New York, USA, 547–575.</w:t>
      </w:r>
    </w:p>
    <w:p w:rsidR="00320513" w:rsidRPr="00320513" w:rsidRDefault="00320513" w:rsidP="00256E05">
      <w:pPr>
        <w:adjustRightInd w:val="0"/>
        <w:ind w:left="360" w:hanging="360"/>
        <w:jc w:val="both"/>
        <w:rPr>
          <w:sz w:val="20"/>
          <w:szCs w:val="20"/>
        </w:rPr>
      </w:pPr>
      <w:r w:rsidRPr="00320513">
        <w:rPr>
          <w:sz w:val="20"/>
          <w:szCs w:val="20"/>
        </w:rPr>
        <w:lastRenderedPageBreak/>
        <w:t>Uçar, B., Güvenç, A.</w:t>
      </w:r>
      <w:r w:rsidR="007A6738">
        <w:rPr>
          <w:sz w:val="20"/>
          <w:szCs w:val="20"/>
        </w:rPr>
        <w:t>,</w:t>
      </w:r>
      <w:r w:rsidRPr="00320513">
        <w:rPr>
          <w:sz w:val="20"/>
          <w:szCs w:val="20"/>
        </w:rPr>
        <w:t xml:space="preserve"> and Mehmetoglu, Ü. (2011)</w:t>
      </w:r>
      <w:r w:rsidR="007A6738">
        <w:rPr>
          <w:sz w:val="20"/>
          <w:szCs w:val="20"/>
        </w:rPr>
        <w:t>.</w:t>
      </w:r>
      <w:r w:rsidRPr="00320513">
        <w:rPr>
          <w:sz w:val="20"/>
          <w:szCs w:val="20"/>
        </w:rPr>
        <w:t xml:space="preserve"> </w:t>
      </w:r>
      <w:r w:rsidRPr="000E7C45">
        <w:rPr>
          <w:i/>
          <w:sz w:val="20"/>
          <w:szCs w:val="20"/>
        </w:rPr>
        <w:t xml:space="preserve">Use of </w:t>
      </w:r>
      <w:r w:rsidR="007A6738" w:rsidRPr="000E7C45">
        <w:rPr>
          <w:i/>
          <w:sz w:val="20"/>
          <w:szCs w:val="20"/>
        </w:rPr>
        <w:t xml:space="preserve">Aluminium </w:t>
      </w:r>
      <w:r w:rsidR="007A6738">
        <w:rPr>
          <w:i/>
          <w:sz w:val="20"/>
          <w:szCs w:val="20"/>
        </w:rPr>
        <w:t>Hydroxide Sludge As Adsorbents for the Removal o</w:t>
      </w:r>
      <w:r w:rsidR="007A6738" w:rsidRPr="000E7C45">
        <w:rPr>
          <w:i/>
          <w:sz w:val="20"/>
          <w:szCs w:val="20"/>
        </w:rPr>
        <w:t xml:space="preserve">f </w:t>
      </w:r>
      <w:r w:rsidRPr="000E7C45">
        <w:rPr>
          <w:i/>
          <w:sz w:val="20"/>
          <w:szCs w:val="20"/>
        </w:rPr>
        <w:t>Reactive Dyes</w:t>
      </w:r>
      <w:r w:rsidR="007A6738">
        <w:rPr>
          <w:i/>
          <w:sz w:val="20"/>
          <w:szCs w:val="20"/>
        </w:rPr>
        <w:t>: Equilibrium, Thermodynamic, a</w:t>
      </w:r>
      <w:r w:rsidR="007A6738" w:rsidRPr="000E7C45">
        <w:rPr>
          <w:i/>
          <w:sz w:val="20"/>
          <w:szCs w:val="20"/>
        </w:rPr>
        <w:t>nd Kinetic Studies</w:t>
      </w:r>
      <w:r w:rsidR="007A6738" w:rsidRPr="00320513">
        <w:rPr>
          <w:sz w:val="20"/>
          <w:szCs w:val="20"/>
        </w:rPr>
        <w:t>.</w:t>
      </w:r>
      <w:r w:rsidRPr="00320513">
        <w:rPr>
          <w:sz w:val="20"/>
          <w:szCs w:val="20"/>
        </w:rPr>
        <w:t xml:space="preserve"> </w:t>
      </w:r>
      <w:r w:rsidR="007A6738">
        <w:rPr>
          <w:sz w:val="20"/>
          <w:szCs w:val="20"/>
        </w:rPr>
        <w:t>Hydrology Current Research</w:t>
      </w:r>
      <w:r w:rsidRPr="000E7C45">
        <w:rPr>
          <w:sz w:val="20"/>
          <w:szCs w:val="20"/>
        </w:rPr>
        <w:t xml:space="preserve"> </w:t>
      </w:r>
      <w:r w:rsidRPr="00320513">
        <w:rPr>
          <w:sz w:val="20"/>
          <w:szCs w:val="20"/>
        </w:rPr>
        <w:t>2: 112.</w:t>
      </w:r>
    </w:p>
    <w:p w:rsidR="00320513" w:rsidRPr="00320513" w:rsidRDefault="00320513" w:rsidP="00256E05">
      <w:pPr>
        <w:adjustRightInd w:val="0"/>
        <w:ind w:left="360" w:hanging="360"/>
        <w:jc w:val="both"/>
        <w:rPr>
          <w:sz w:val="20"/>
          <w:szCs w:val="20"/>
        </w:rPr>
      </w:pPr>
      <w:r w:rsidRPr="00320513">
        <w:rPr>
          <w:sz w:val="20"/>
          <w:szCs w:val="20"/>
        </w:rPr>
        <w:t>Weber, J.B. (1970)</w:t>
      </w:r>
      <w:r w:rsidR="007A6738">
        <w:rPr>
          <w:sz w:val="20"/>
          <w:szCs w:val="20"/>
        </w:rPr>
        <w:t>.</w:t>
      </w:r>
      <w:r w:rsidRPr="00320513">
        <w:rPr>
          <w:sz w:val="20"/>
          <w:szCs w:val="20"/>
        </w:rPr>
        <w:t xml:space="preserve"> </w:t>
      </w:r>
      <w:r w:rsidRPr="000E7C45">
        <w:rPr>
          <w:i/>
          <w:sz w:val="20"/>
          <w:szCs w:val="20"/>
        </w:rPr>
        <w:t xml:space="preserve">Mechanisms of </w:t>
      </w:r>
      <w:r w:rsidR="007A6738">
        <w:rPr>
          <w:i/>
          <w:sz w:val="20"/>
          <w:szCs w:val="20"/>
        </w:rPr>
        <w:t>Adsorption o</w:t>
      </w:r>
      <w:r w:rsidR="007A6738" w:rsidRPr="000E7C45">
        <w:rPr>
          <w:i/>
          <w:sz w:val="20"/>
          <w:szCs w:val="20"/>
        </w:rPr>
        <w:t xml:space="preserve">f </w:t>
      </w:r>
      <w:r w:rsidR="007A6738" w:rsidRPr="000E7C45">
        <w:rPr>
          <w:i/>
          <w:iCs/>
          <w:sz w:val="20"/>
          <w:szCs w:val="20"/>
        </w:rPr>
        <w:t>S</w:t>
      </w:r>
      <w:r w:rsidR="007A6738">
        <w:rPr>
          <w:i/>
          <w:sz w:val="20"/>
          <w:szCs w:val="20"/>
        </w:rPr>
        <w:t>-Triazine by Clay Colloids a</w:t>
      </w:r>
      <w:r w:rsidR="007A6738" w:rsidRPr="000E7C45">
        <w:rPr>
          <w:i/>
          <w:sz w:val="20"/>
          <w:szCs w:val="20"/>
        </w:rPr>
        <w:t>nd Factors Affecting Plant Availability</w:t>
      </w:r>
      <w:r w:rsidR="007A6738" w:rsidRPr="00320513">
        <w:rPr>
          <w:sz w:val="20"/>
          <w:szCs w:val="20"/>
        </w:rPr>
        <w:t xml:space="preserve">. </w:t>
      </w:r>
      <w:r w:rsidRPr="000E7C45">
        <w:rPr>
          <w:iCs/>
          <w:sz w:val="20"/>
          <w:szCs w:val="20"/>
        </w:rPr>
        <w:t>Residue Reviews</w:t>
      </w:r>
      <w:r w:rsidRPr="00320513">
        <w:rPr>
          <w:b/>
          <w:bCs/>
          <w:sz w:val="20"/>
          <w:szCs w:val="20"/>
        </w:rPr>
        <w:t xml:space="preserve"> </w:t>
      </w:r>
      <w:r w:rsidRPr="00320513">
        <w:rPr>
          <w:sz w:val="20"/>
          <w:szCs w:val="20"/>
        </w:rPr>
        <w:t>33: 93-129.</w:t>
      </w:r>
    </w:p>
    <w:p w:rsidR="00320513" w:rsidRPr="00320513" w:rsidRDefault="00320513" w:rsidP="00256E05">
      <w:pPr>
        <w:adjustRightInd w:val="0"/>
        <w:ind w:left="360" w:hanging="360"/>
        <w:jc w:val="both"/>
        <w:rPr>
          <w:sz w:val="20"/>
          <w:szCs w:val="20"/>
        </w:rPr>
      </w:pPr>
      <w:r w:rsidRPr="00320513">
        <w:rPr>
          <w:sz w:val="20"/>
          <w:szCs w:val="20"/>
        </w:rPr>
        <w:t>Yacob, A.R., Majid, Z.A., Dasril, R.S.D.</w:t>
      </w:r>
      <w:r w:rsidR="007A6738">
        <w:rPr>
          <w:sz w:val="20"/>
          <w:szCs w:val="20"/>
        </w:rPr>
        <w:t>,</w:t>
      </w:r>
      <w:r w:rsidRPr="00320513">
        <w:rPr>
          <w:sz w:val="20"/>
          <w:szCs w:val="20"/>
        </w:rPr>
        <w:t xml:space="preserve"> and Vicinisvarri, I. (2008)</w:t>
      </w:r>
      <w:r w:rsidR="007A6738">
        <w:rPr>
          <w:sz w:val="20"/>
          <w:szCs w:val="20"/>
        </w:rPr>
        <w:t>.</w:t>
      </w:r>
      <w:r w:rsidRPr="00320513">
        <w:rPr>
          <w:sz w:val="20"/>
          <w:szCs w:val="20"/>
        </w:rPr>
        <w:t xml:space="preserve"> </w:t>
      </w:r>
      <w:r w:rsidRPr="000E7C45">
        <w:rPr>
          <w:i/>
          <w:sz w:val="20"/>
          <w:szCs w:val="20"/>
        </w:rPr>
        <w:t xml:space="preserve">Comparison of </w:t>
      </w:r>
      <w:r w:rsidR="007A6738">
        <w:rPr>
          <w:i/>
          <w:sz w:val="20"/>
          <w:szCs w:val="20"/>
        </w:rPr>
        <w:t>Various Sources o</w:t>
      </w:r>
      <w:r w:rsidR="007A6738" w:rsidRPr="000E7C45">
        <w:rPr>
          <w:i/>
          <w:sz w:val="20"/>
          <w:szCs w:val="20"/>
        </w:rPr>
        <w:t>f Hig</w:t>
      </w:r>
      <w:r w:rsidR="007A6738">
        <w:rPr>
          <w:i/>
          <w:sz w:val="20"/>
          <w:szCs w:val="20"/>
        </w:rPr>
        <w:t>h Surface Area Carbon Prepared by Different Types o</w:t>
      </w:r>
      <w:r w:rsidR="007A6738" w:rsidRPr="000E7C45">
        <w:rPr>
          <w:i/>
          <w:sz w:val="20"/>
          <w:szCs w:val="20"/>
        </w:rPr>
        <w:t>f Activation</w:t>
      </w:r>
      <w:r w:rsidR="007A6738" w:rsidRPr="00320513">
        <w:rPr>
          <w:sz w:val="20"/>
          <w:szCs w:val="20"/>
        </w:rPr>
        <w:t xml:space="preserve">. </w:t>
      </w:r>
      <w:r w:rsidRPr="000E7C45">
        <w:rPr>
          <w:sz w:val="20"/>
          <w:szCs w:val="20"/>
        </w:rPr>
        <w:t>The Malaysian Journal of Analytical Sciences</w:t>
      </w:r>
      <w:r w:rsidRPr="00320513">
        <w:rPr>
          <w:sz w:val="20"/>
          <w:szCs w:val="20"/>
        </w:rPr>
        <w:t xml:space="preserve"> 12: 264-271.</w:t>
      </w:r>
    </w:p>
    <w:p w:rsidR="00320513" w:rsidRPr="00320513" w:rsidRDefault="00320513" w:rsidP="00256E05">
      <w:pPr>
        <w:adjustRightInd w:val="0"/>
        <w:ind w:left="360" w:hanging="360"/>
        <w:jc w:val="both"/>
        <w:rPr>
          <w:sz w:val="20"/>
          <w:szCs w:val="20"/>
        </w:rPr>
      </w:pPr>
      <w:r w:rsidRPr="00320513">
        <w:rPr>
          <w:sz w:val="20"/>
          <w:szCs w:val="20"/>
        </w:rPr>
        <w:t>Yang, X.Y.</w:t>
      </w:r>
      <w:r w:rsidR="007A6738">
        <w:rPr>
          <w:sz w:val="20"/>
          <w:szCs w:val="20"/>
        </w:rPr>
        <w:t>,</w:t>
      </w:r>
      <w:r w:rsidRPr="00320513">
        <w:rPr>
          <w:sz w:val="20"/>
          <w:szCs w:val="20"/>
        </w:rPr>
        <w:t xml:space="preserve"> and Al-Duri, B. (2005)</w:t>
      </w:r>
      <w:r w:rsidR="007A6738">
        <w:rPr>
          <w:sz w:val="20"/>
          <w:szCs w:val="20"/>
        </w:rPr>
        <w:t>.</w:t>
      </w:r>
      <w:r w:rsidRPr="00320513">
        <w:rPr>
          <w:sz w:val="20"/>
          <w:szCs w:val="20"/>
        </w:rPr>
        <w:t xml:space="preserve"> </w:t>
      </w:r>
      <w:r w:rsidRPr="000E7C45">
        <w:rPr>
          <w:i/>
          <w:sz w:val="20"/>
          <w:szCs w:val="20"/>
        </w:rPr>
        <w:t xml:space="preserve">Kinetic </w:t>
      </w:r>
      <w:r w:rsidR="007A6738">
        <w:rPr>
          <w:i/>
          <w:sz w:val="20"/>
          <w:szCs w:val="20"/>
        </w:rPr>
        <w:t>Modelling o</w:t>
      </w:r>
      <w:r w:rsidR="007A6738" w:rsidRPr="000E7C45">
        <w:rPr>
          <w:i/>
          <w:sz w:val="20"/>
          <w:szCs w:val="20"/>
        </w:rPr>
        <w:t>f Liquid-Phase A</w:t>
      </w:r>
      <w:r w:rsidR="007A6738">
        <w:rPr>
          <w:i/>
          <w:sz w:val="20"/>
          <w:szCs w:val="20"/>
        </w:rPr>
        <w:t>dsorption of Reaction Dyes o</w:t>
      </w:r>
      <w:r w:rsidR="007A6738" w:rsidRPr="000E7C45">
        <w:rPr>
          <w:i/>
          <w:sz w:val="20"/>
          <w:szCs w:val="20"/>
        </w:rPr>
        <w:t>n Activated Carbon</w:t>
      </w:r>
      <w:r w:rsidR="007A6738" w:rsidRPr="00320513">
        <w:rPr>
          <w:sz w:val="20"/>
          <w:szCs w:val="20"/>
        </w:rPr>
        <w:t>.</w:t>
      </w:r>
      <w:r w:rsidRPr="00320513">
        <w:rPr>
          <w:sz w:val="20"/>
          <w:szCs w:val="20"/>
        </w:rPr>
        <w:t xml:space="preserve"> </w:t>
      </w:r>
      <w:r w:rsidRPr="000E7C45">
        <w:rPr>
          <w:sz w:val="20"/>
          <w:szCs w:val="20"/>
        </w:rPr>
        <w:t>Journal of Colloid and Interface Science</w:t>
      </w:r>
      <w:r w:rsidRPr="00320513">
        <w:rPr>
          <w:sz w:val="20"/>
          <w:szCs w:val="20"/>
        </w:rPr>
        <w:t xml:space="preserve"> 287: 25-34.</w:t>
      </w:r>
    </w:p>
    <w:p w:rsidR="003D3E93" w:rsidRDefault="003D3E93" w:rsidP="00256E05">
      <w:pPr>
        <w:ind w:left="238" w:hanging="238"/>
        <w:contextualSpacing/>
        <w:jc w:val="both"/>
        <w:outlineLvl w:val="1"/>
      </w:pPr>
    </w:p>
    <w:sectPr w:rsidR="003D3E93" w:rsidSect="00D029C9">
      <w:headerReference w:type="even" r:id="rId16"/>
      <w:headerReference w:type="default" r:id="rId17"/>
      <w:footerReference w:type="even" r:id="rId18"/>
      <w:footerReference w:type="default" r:id="rId19"/>
      <w:headerReference w:type="first" r:id="rId20"/>
      <w:footerReference w:type="first" r:id="rId21"/>
      <w:pgSz w:w="10319" w:h="14571" w:code="13"/>
      <w:pgMar w:top="1701" w:right="1247" w:bottom="1701" w:left="1247" w:header="720" w:footer="6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96" w:rsidRDefault="00204096" w:rsidP="00973AD4">
      <w:r>
        <w:separator/>
      </w:r>
    </w:p>
  </w:endnote>
  <w:endnote w:type="continuationSeparator" w:id="0">
    <w:p w:rsidR="00204096" w:rsidRDefault="00204096" w:rsidP="0097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liverRM">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A21" w:rsidRDefault="00B11A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A21" w:rsidRDefault="00B11A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2D" w:rsidRDefault="0027702D">
    <w:pPr>
      <w:pStyle w:val="a7"/>
    </w:pPr>
  </w:p>
  <w:p w:rsidR="00822CDB" w:rsidRDefault="00822C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96" w:rsidRDefault="00204096" w:rsidP="00973AD4">
      <w:r>
        <w:separator/>
      </w:r>
    </w:p>
  </w:footnote>
  <w:footnote w:type="continuationSeparator" w:id="0">
    <w:p w:rsidR="00204096" w:rsidRDefault="00204096" w:rsidP="0097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8A" w:rsidRDefault="00B11A21" w:rsidP="00B11A21">
    <w:pPr>
      <w:pStyle w:val="a5"/>
      <w:jc w:val="center"/>
    </w:pPr>
    <w:r>
      <w:rPr>
        <w:bCs/>
        <w:i/>
        <w:iCs/>
        <w:sz w:val="20"/>
        <w:szCs w:val="20"/>
      </w:rPr>
      <w:t>Proceedings of the 2nd International Symposium on</w:t>
    </w:r>
    <w:r>
      <w:rPr>
        <w:bCs/>
        <w:i/>
        <w:iCs/>
        <w:sz w:val="20"/>
        <w:szCs w:val="20"/>
      </w:rPr>
      <w:t xml:space="preserve"> </w:t>
    </w:r>
    <w:r>
      <w:rPr>
        <w:bCs/>
        <w:i/>
        <w:iCs/>
        <w:sz w:val="20"/>
        <w:szCs w:val="20"/>
      </w:rPr>
      <w:t>Expertise of Engineering Design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D4" w:rsidRDefault="00B11A21" w:rsidP="00B11A21">
    <w:pPr>
      <w:pStyle w:val="a5"/>
      <w:jc w:val="center"/>
    </w:pPr>
    <w:r>
      <w:rPr>
        <w:bCs/>
        <w:i/>
        <w:iCs/>
        <w:sz w:val="20"/>
        <w:szCs w:val="20"/>
      </w:rPr>
      <w:t>Proceedings of the 2nd International Symposium on</w:t>
    </w:r>
    <w:r>
      <w:rPr>
        <w:bCs/>
        <w:i/>
        <w:iCs/>
        <w:sz w:val="20"/>
        <w:szCs w:val="20"/>
      </w:rPr>
      <w:t xml:space="preserve"> </w:t>
    </w:r>
    <w:r>
      <w:rPr>
        <w:bCs/>
        <w:i/>
        <w:iCs/>
        <w:sz w:val="20"/>
        <w:szCs w:val="20"/>
      </w:rPr>
      <w:t>Expertise of Engineering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8A" w:rsidRDefault="00B11A21" w:rsidP="00F73B8A">
    <w:pPr>
      <w:pStyle w:val="a5"/>
      <w:jc w:val="center"/>
    </w:pPr>
    <w:r>
      <w:rPr>
        <w:bCs/>
        <w:i/>
        <w:iCs/>
        <w:sz w:val="20"/>
        <w:szCs w:val="20"/>
      </w:rPr>
      <w:t>Proceedings of the 2nd International Symposium on Expertise of Engineering Design</w:t>
    </w:r>
  </w:p>
  <w:p w:rsidR="000E4464" w:rsidRPr="00122074" w:rsidRDefault="000E4464" w:rsidP="005E2928">
    <w:pPr>
      <w:pStyle w:val="a5"/>
      <w:jc w:val="center"/>
      <w:rPr>
        <w:i/>
        <w:lang w:val="en-MY"/>
      </w:rPr>
    </w:pPr>
  </w:p>
  <w:p w:rsidR="000E4464" w:rsidRDefault="000E4464">
    <w:pPr>
      <w:pStyle w:val="a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EF3"/>
    <w:multiLevelType w:val="hybridMultilevel"/>
    <w:tmpl w:val="6F72D926"/>
    <w:lvl w:ilvl="0" w:tplc="4A120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FD6BB7"/>
    <w:multiLevelType w:val="hybridMultilevel"/>
    <w:tmpl w:val="8FE02AAE"/>
    <w:lvl w:ilvl="0" w:tplc="0409001B">
      <w:start w:val="1"/>
      <w:numFmt w:val="lowerRoman"/>
      <w:lvlText w:val="%1."/>
      <w:lvlJc w:val="right"/>
      <w:pPr>
        <w:tabs>
          <w:tab w:val="num" w:pos="1440"/>
        </w:tabs>
        <w:ind w:left="1440" w:hanging="360"/>
      </w:pPr>
    </w:lvl>
    <w:lvl w:ilvl="1" w:tplc="0409000F">
      <w:start w:val="1"/>
      <w:numFmt w:val="decimal"/>
      <w:lvlText w:val="%2."/>
      <w:lvlJc w:val="left"/>
      <w:pPr>
        <w:tabs>
          <w:tab w:val="num" w:pos="2160"/>
        </w:tabs>
        <w:ind w:left="2160" w:hanging="360"/>
      </w:pPr>
    </w:lvl>
    <w:lvl w:ilvl="2" w:tplc="E078011E">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C412B6E"/>
    <w:multiLevelType w:val="multilevel"/>
    <w:tmpl w:val="A626AB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0F74F3A"/>
    <w:multiLevelType w:val="hybridMultilevel"/>
    <w:tmpl w:val="1450B372"/>
    <w:lvl w:ilvl="0" w:tplc="C0D8C5CE">
      <w:start w:val="1"/>
      <w:numFmt w:val="decimal"/>
      <w:lvlText w:val="%1."/>
      <w:lvlJc w:val="left"/>
      <w:pPr>
        <w:tabs>
          <w:tab w:val="num" w:pos="630"/>
        </w:tabs>
        <w:ind w:left="630" w:hanging="360"/>
      </w:pPr>
      <w:rPr>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8415F"/>
    <w:multiLevelType w:val="hybridMultilevel"/>
    <w:tmpl w:val="F802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07E8"/>
    <w:multiLevelType w:val="multilevel"/>
    <w:tmpl w:val="8E1AF39C"/>
    <w:lvl w:ilvl="0">
      <w:start w:val="2"/>
      <w:numFmt w:val="decimal"/>
      <w:lvlText w:val="%1.0"/>
      <w:lvlJc w:val="left"/>
      <w:pPr>
        <w:tabs>
          <w:tab w:val="num" w:pos="450"/>
        </w:tabs>
        <w:ind w:left="450" w:hanging="450"/>
      </w:pPr>
      <w:rPr>
        <w:rFonts w:hint="default"/>
        <w:i w:val="0"/>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D7813E7"/>
    <w:multiLevelType w:val="hybridMultilevel"/>
    <w:tmpl w:val="4C561506"/>
    <w:lvl w:ilvl="0" w:tplc="CB1A4ED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96968"/>
    <w:multiLevelType w:val="hybridMultilevel"/>
    <w:tmpl w:val="696E2170"/>
    <w:lvl w:ilvl="0" w:tplc="3F3E8492">
      <w:numFmt w:val="bullet"/>
      <w:lvlText w:val=""/>
      <w:lvlJc w:val="left"/>
      <w:pPr>
        <w:tabs>
          <w:tab w:val="num" w:pos="555"/>
        </w:tabs>
        <w:ind w:left="555" w:hanging="360"/>
      </w:pPr>
      <w:rPr>
        <w:rFonts w:ascii="Symbol" w:eastAsia="SimSun" w:hAnsi="Symbol" w:cs="Times New Roman"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8" w15:restartNumberingAfterBreak="0">
    <w:nsid w:val="2F50496E"/>
    <w:multiLevelType w:val="hybridMultilevel"/>
    <w:tmpl w:val="67E2A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F7515"/>
    <w:multiLevelType w:val="hybridMultilevel"/>
    <w:tmpl w:val="A21EEC78"/>
    <w:lvl w:ilvl="0" w:tplc="9FCAADD8">
      <w:start w:val="2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D6F8B"/>
    <w:multiLevelType w:val="multilevel"/>
    <w:tmpl w:val="233C1D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CE1593"/>
    <w:multiLevelType w:val="hybridMultilevel"/>
    <w:tmpl w:val="2594E048"/>
    <w:lvl w:ilvl="0" w:tplc="804EB0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8B3361"/>
    <w:multiLevelType w:val="hybridMultilevel"/>
    <w:tmpl w:val="DA1630AE"/>
    <w:lvl w:ilvl="0" w:tplc="DF2071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E539D"/>
    <w:multiLevelType w:val="hybridMultilevel"/>
    <w:tmpl w:val="E8E2BA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61577C"/>
    <w:multiLevelType w:val="hybridMultilevel"/>
    <w:tmpl w:val="3DAAF886"/>
    <w:lvl w:ilvl="0" w:tplc="68A4D588">
      <w:start w:val="2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5"/>
  </w:num>
  <w:num w:numId="5">
    <w:abstractNumId w:val="11"/>
  </w:num>
  <w:num w:numId="6">
    <w:abstractNumId w:val="3"/>
  </w:num>
  <w:num w:numId="7">
    <w:abstractNumId w:val="4"/>
  </w:num>
  <w:num w:numId="8">
    <w:abstractNumId w:val="10"/>
  </w:num>
  <w:num w:numId="9">
    <w:abstractNumId w:val="1"/>
  </w:num>
  <w:num w:numId="10">
    <w:abstractNumId w:val="8"/>
  </w:num>
  <w:num w:numId="11">
    <w:abstractNumId w:val="13"/>
  </w:num>
  <w:num w:numId="12">
    <w:abstractNumId w:val="0"/>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en-SG" w:vendorID="64" w:dllVersion="131078" w:nlCheck="1" w:checkStyle="1"/>
  <w:activeWritingStyle w:appName="MSWord" w:lang="en-MY"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31"/>
    <w:rsid w:val="00056148"/>
    <w:rsid w:val="00073352"/>
    <w:rsid w:val="000804D2"/>
    <w:rsid w:val="00080C4B"/>
    <w:rsid w:val="00083E3E"/>
    <w:rsid w:val="000B6E10"/>
    <w:rsid w:val="000C342C"/>
    <w:rsid w:val="000D42B6"/>
    <w:rsid w:val="000E4464"/>
    <w:rsid w:val="000E7C45"/>
    <w:rsid w:val="000F1FFD"/>
    <w:rsid w:val="000F6769"/>
    <w:rsid w:val="0011337B"/>
    <w:rsid w:val="00122074"/>
    <w:rsid w:val="0012301C"/>
    <w:rsid w:val="001306BE"/>
    <w:rsid w:val="00132BCB"/>
    <w:rsid w:val="00144ACB"/>
    <w:rsid w:val="0014508E"/>
    <w:rsid w:val="001741D9"/>
    <w:rsid w:val="0017675C"/>
    <w:rsid w:val="001840F5"/>
    <w:rsid w:val="001911DE"/>
    <w:rsid w:val="001B6382"/>
    <w:rsid w:val="001C17AC"/>
    <w:rsid w:val="001D59A2"/>
    <w:rsid w:val="0020153D"/>
    <w:rsid w:val="00204096"/>
    <w:rsid w:val="00222569"/>
    <w:rsid w:val="00242064"/>
    <w:rsid w:val="00256E05"/>
    <w:rsid w:val="00257AAA"/>
    <w:rsid w:val="0026267B"/>
    <w:rsid w:val="0027702D"/>
    <w:rsid w:val="00285394"/>
    <w:rsid w:val="0029089A"/>
    <w:rsid w:val="00293774"/>
    <w:rsid w:val="002E002F"/>
    <w:rsid w:val="002F516F"/>
    <w:rsid w:val="00320513"/>
    <w:rsid w:val="00327120"/>
    <w:rsid w:val="0036152A"/>
    <w:rsid w:val="003812C6"/>
    <w:rsid w:val="00382EB5"/>
    <w:rsid w:val="0039186A"/>
    <w:rsid w:val="00397256"/>
    <w:rsid w:val="003A0B08"/>
    <w:rsid w:val="003A2045"/>
    <w:rsid w:val="003A3595"/>
    <w:rsid w:val="003B31FC"/>
    <w:rsid w:val="003B3D34"/>
    <w:rsid w:val="003C02B4"/>
    <w:rsid w:val="003C0B6C"/>
    <w:rsid w:val="003D3E93"/>
    <w:rsid w:val="003E26A7"/>
    <w:rsid w:val="003F6480"/>
    <w:rsid w:val="00402106"/>
    <w:rsid w:val="004218DD"/>
    <w:rsid w:val="004219B2"/>
    <w:rsid w:val="0043427B"/>
    <w:rsid w:val="004448BB"/>
    <w:rsid w:val="00454154"/>
    <w:rsid w:val="004600C6"/>
    <w:rsid w:val="00467460"/>
    <w:rsid w:val="00467672"/>
    <w:rsid w:val="004741AC"/>
    <w:rsid w:val="004C2D75"/>
    <w:rsid w:val="004E1433"/>
    <w:rsid w:val="004E2B7B"/>
    <w:rsid w:val="004E4DB7"/>
    <w:rsid w:val="004F739D"/>
    <w:rsid w:val="00507090"/>
    <w:rsid w:val="0051325B"/>
    <w:rsid w:val="00515437"/>
    <w:rsid w:val="00521306"/>
    <w:rsid w:val="005303E4"/>
    <w:rsid w:val="00550679"/>
    <w:rsid w:val="005540A6"/>
    <w:rsid w:val="005661C6"/>
    <w:rsid w:val="0056756F"/>
    <w:rsid w:val="005676F7"/>
    <w:rsid w:val="005833C6"/>
    <w:rsid w:val="00584256"/>
    <w:rsid w:val="00591761"/>
    <w:rsid w:val="00594EAF"/>
    <w:rsid w:val="005B4FB0"/>
    <w:rsid w:val="005B72D9"/>
    <w:rsid w:val="005E2737"/>
    <w:rsid w:val="005E2928"/>
    <w:rsid w:val="0062694D"/>
    <w:rsid w:val="006271E3"/>
    <w:rsid w:val="00630E47"/>
    <w:rsid w:val="00633F9B"/>
    <w:rsid w:val="006464DC"/>
    <w:rsid w:val="00646A07"/>
    <w:rsid w:val="00654188"/>
    <w:rsid w:val="006545AB"/>
    <w:rsid w:val="00663431"/>
    <w:rsid w:val="006704FE"/>
    <w:rsid w:val="006B6B31"/>
    <w:rsid w:val="006D6C58"/>
    <w:rsid w:val="006E7DA3"/>
    <w:rsid w:val="006F364F"/>
    <w:rsid w:val="00724A4E"/>
    <w:rsid w:val="007311D6"/>
    <w:rsid w:val="007520A9"/>
    <w:rsid w:val="0076365A"/>
    <w:rsid w:val="007660FC"/>
    <w:rsid w:val="00780333"/>
    <w:rsid w:val="007873E0"/>
    <w:rsid w:val="007A6738"/>
    <w:rsid w:val="007B1435"/>
    <w:rsid w:val="007D0A25"/>
    <w:rsid w:val="007E6D1E"/>
    <w:rsid w:val="007F19E7"/>
    <w:rsid w:val="00803DD3"/>
    <w:rsid w:val="00811357"/>
    <w:rsid w:val="00811846"/>
    <w:rsid w:val="00822CDB"/>
    <w:rsid w:val="008355F7"/>
    <w:rsid w:val="008407BD"/>
    <w:rsid w:val="00850043"/>
    <w:rsid w:val="00852FC5"/>
    <w:rsid w:val="00865F62"/>
    <w:rsid w:val="0087367C"/>
    <w:rsid w:val="00880AFE"/>
    <w:rsid w:val="0089560B"/>
    <w:rsid w:val="008A3921"/>
    <w:rsid w:val="008A627C"/>
    <w:rsid w:val="008B2C8D"/>
    <w:rsid w:val="008C24DB"/>
    <w:rsid w:val="008D439F"/>
    <w:rsid w:val="008F4C11"/>
    <w:rsid w:val="008F6E9A"/>
    <w:rsid w:val="00904046"/>
    <w:rsid w:val="00913762"/>
    <w:rsid w:val="00955A86"/>
    <w:rsid w:val="00973AD4"/>
    <w:rsid w:val="0098067D"/>
    <w:rsid w:val="00984A36"/>
    <w:rsid w:val="009A095B"/>
    <w:rsid w:val="009C1857"/>
    <w:rsid w:val="009C4058"/>
    <w:rsid w:val="009D0EF7"/>
    <w:rsid w:val="009D1026"/>
    <w:rsid w:val="009D3BCF"/>
    <w:rsid w:val="009D68A6"/>
    <w:rsid w:val="009E0468"/>
    <w:rsid w:val="009E7F6D"/>
    <w:rsid w:val="009F5C4B"/>
    <w:rsid w:val="00A019DB"/>
    <w:rsid w:val="00A05D5E"/>
    <w:rsid w:val="00A144A1"/>
    <w:rsid w:val="00A2105B"/>
    <w:rsid w:val="00A21208"/>
    <w:rsid w:val="00A23038"/>
    <w:rsid w:val="00A24CC8"/>
    <w:rsid w:val="00A3578A"/>
    <w:rsid w:val="00A4724D"/>
    <w:rsid w:val="00A57BAE"/>
    <w:rsid w:val="00A71899"/>
    <w:rsid w:val="00A91BB0"/>
    <w:rsid w:val="00AA24D9"/>
    <w:rsid w:val="00AA2D8B"/>
    <w:rsid w:val="00AA47E6"/>
    <w:rsid w:val="00AA7699"/>
    <w:rsid w:val="00AC0EA8"/>
    <w:rsid w:val="00AD1F50"/>
    <w:rsid w:val="00AE3DD1"/>
    <w:rsid w:val="00B00274"/>
    <w:rsid w:val="00B11A21"/>
    <w:rsid w:val="00B16BCB"/>
    <w:rsid w:val="00B522A0"/>
    <w:rsid w:val="00B55641"/>
    <w:rsid w:val="00B62F39"/>
    <w:rsid w:val="00B8432E"/>
    <w:rsid w:val="00B902EC"/>
    <w:rsid w:val="00BA7F20"/>
    <w:rsid w:val="00BB54E9"/>
    <w:rsid w:val="00BC1ED5"/>
    <w:rsid w:val="00BC2E9E"/>
    <w:rsid w:val="00BE3AAE"/>
    <w:rsid w:val="00BF5038"/>
    <w:rsid w:val="00BF7FF7"/>
    <w:rsid w:val="00C06027"/>
    <w:rsid w:val="00C0613A"/>
    <w:rsid w:val="00C44A17"/>
    <w:rsid w:val="00C53C05"/>
    <w:rsid w:val="00C57E8D"/>
    <w:rsid w:val="00C603D8"/>
    <w:rsid w:val="00C65D1A"/>
    <w:rsid w:val="00C66596"/>
    <w:rsid w:val="00C72362"/>
    <w:rsid w:val="00C941FE"/>
    <w:rsid w:val="00CA03D1"/>
    <w:rsid w:val="00CE0F69"/>
    <w:rsid w:val="00D029C9"/>
    <w:rsid w:val="00D313BF"/>
    <w:rsid w:val="00D44C66"/>
    <w:rsid w:val="00D45308"/>
    <w:rsid w:val="00D46D7C"/>
    <w:rsid w:val="00D476C3"/>
    <w:rsid w:val="00D61278"/>
    <w:rsid w:val="00D66AF4"/>
    <w:rsid w:val="00D717BF"/>
    <w:rsid w:val="00D731FE"/>
    <w:rsid w:val="00D74CAC"/>
    <w:rsid w:val="00D76574"/>
    <w:rsid w:val="00D773FF"/>
    <w:rsid w:val="00D8345D"/>
    <w:rsid w:val="00D84546"/>
    <w:rsid w:val="00D9712F"/>
    <w:rsid w:val="00D97E24"/>
    <w:rsid w:val="00DB3DA4"/>
    <w:rsid w:val="00DC28A4"/>
    <w:rsid w:val="00DF739F"/>
    <w:rsid w:val="00E045D3"/>
    <w:rsid w:val="00E12C4A"/>
    <w:rsid w:val="00E259A5"/>
    <w:rsid w:val="00E25E22"/>
    <w:rsid w:val="00E31A99"/>
    <w:rsid w:val="00E44209"/>
    <w:rsid w:val="00E47746"/>
    <w:rsid w:val="00E551AA"/>
    <w:rsid w:val="00E71423"/>
    <w:rsid w:val="00E868F7"/>
    <w:rsid w:val="00EB5EA9"/>
    <w:rsid w:val="00ED12DE"/>
    <w:rsid w:val="00EE704D"/>
    <w:rsid w:val="00EF7EE5"/>
    <w:rsid w:val="00F313A2"/>
    <w:rsid w:val="00F420F5"/>
    <w:rsid w:val="00F42DDF"/>
    <w:rsid w:val="00F4432A"/>
    <w:rsid w:val="00F600B6"/>
    <w:rsid w:val="00F73B8A"/>
    <w:rsid w:val="00F73D50"/>
    <w:rsid w:val="00F747EF"/>
    <w:rsid w:val="00FB7402"/>
    <w:rsid w:val="00FD2DE1"/>
    <w:rsid w:val="00FE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86E07A-2F92-44F3-BEBB-EEF2B69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45"/>
    <w:rPr>
      <w:sz w:val="24"/>
      <w:szCs w:val="24"/>
      <w:lang w:val="ms-MY" w:eastAsia="zh-CN"/>
    </w:rPr>
  </w:style>
  <w:style w:type="paragraph" w:styleId="2">
    <w:name w:val="heading 2"/>
    <w:basedOn w:val="a"/>
    <w:link w:val="20"/>
    <w:uiPriority w:val="9"/>
    <w:qFormat/>
    <w:rsid w:val="00080C4B"/>
    <w:pPr>
      <w:spacing w:before="100" w:beforeAutospacing="1" w:after="100" w:afterAutospacing="1"/>
      <w:outlineLvl w:val="1"/>
    </w:pPr>
    <w:rPr>
      <w:rFonts w:eastAsia="Times New Roman"/>
      <w:b/>
      <w:bCs/>
      <w:sz w:val="36"/>
      <w:szCs w:val="3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045"/>
    <w:rPr>
      <w:color w:val="0000FF"/>
      <w:u w:val="single"/>
    </w:rPr>
  </w:style>
  <w:style w:type="paragraph" w:styleId="a4">
    <w:name w:val="Title"/>
    <w:basedOn w:val="a"/>
    <w:qFormat/>
    <w:rsid w:val="003A2045"/>
    <w:pPr>
      <w:jc w:val="center"/>
    </w:pPr>
    <w:rPr>
      <w:b/>
      <w:bCs/>
      <w:noProof/>
      <w:sz w:val="28"/>
      <w:u w:val="single"/>
      <w:lang w:val="en-US" w:eastAsia="en-US"/>
    </w:rPr>
  </w:style>
  <w:style w:type="paragraph" w:customStyle="1" w:styleId="Reference">
    <w:name w:val="Reference"/>
    <w:basedOn w:val="a"/>
    <w:rsid w:val="00C603D8"/>
    <w:pPr>
      <w:ind w:left="288" w:hanging="288"/>
    </w:pPr>
    <w:rPr>
      <w:rFonts w:ascii="Arial" w:hAnsi="Arial"/>
      <w:lang w:val="en-US" w:eastAsia="en-US"/>
    </w:rPr>
  </w:style>
  <w:style w:type="paragraph" w:styleId="a5">
    <w:name w:val="header"/>
    <w:basedOn w:val="a"/>
    <w:link w:val="a6"/>
    <w:uiPriority w:val="99"/>
    <w:rsid w:val="00973AD4"/>
    <w:pPr>
      <w:tabs>
        <w:tab w:val="center" w:pos="4680"/>
        <w:tab w:val="right" w:pos="9360"/>
      </w:tabs>
    </w:pPr>
  </w:style>
  <w:style w:type="character" w:customStyle="1" w:styleId="a6">
    <w:name w:val="ヘッダー (文字)"/>
    <w:basedOn w:val="a0"/>
    <w:link w:val="a5"/>
    <w:uiPriority w:val="99"/>
    <w:rsid w:val="00973AD4"/>
    <w:rPr>
      <w:sz w:val="24"/>
      <w:szCs w:val="24"/>
      <w:lang w:val="ms-MY" w:eastAsia="zh-CN"/>
    </w:rPr>
  </w:style>
  <w:style w:type="paragraph" w:styleId="a7">
    <w:name w:val="footer"/>
    <w:basedOn w:val="a"/>
    <w:link w:val="a8"/>
    <w:uiPriority w:val="99"/>
    <w:rsid w:val="00973AD4"/>
    <w:pPr>
      <w:tabs>
        <w:tab w:val="center" w:pos="4680"/>
        <w:tab w:val="right" w:pos="9360"/>
      </w:tabs>
    </w:pPr>
  </w:style>
  <w:style w:type="character" w:customStyle="1" w:styleId="a8">
    <w:name w:val="フッター (文字)"/>
    <w:basedOn w:val="a0"/>
    <w:link w:val="a7"/>
    <w:uiPriority w:val="99"/>
    <w:rsid w:val="00973AD4"/>
    <w:rPr>
      <w:sz w:val="24"/>
      <w:szCs w:val="24"/>
      <w:lang w:val="ms-MY" w:eastAsia="zh-CN"/>
    </w:rPr>
  </w:style>
  <w:style w:type="paragraph" w:styleId="a9">
    <w:name w:val="Balloon Text"/>
    <w:basedOn w:val="a"/>
    <w:link w:val="aa"/>
    <w:rsid w:val="00973AD4"/>
    <w:rPr>
      <w:rFonts w:ascii="Tahoma" w:hAnsi="Tahoma" w:cs="Tahoma"/>
      <w:sz w:val="16"/>
      <w:szCs w:val="16"/>
    </w:rPr>
  </w:style>
  <w:style w:type="character" w:customStyle="1" w:styleId="aa">
    <w:name w:val="吹き出し (文字)"/>
    <w:basedOn w:val="a0"/>
    <w:link w:val="a9"/>
    <w:rsid w:val="00973AD4"/>
    <w:rPr>
      <w:rFonts w:ascii="Tahoma" w:hAnsi="Tahoma" w:cs="Tahoma"/>
      <w:sz w:val="16"/>
      <w:szCs w:val="16"/>
      <w:lang w:val="ms-MY" w:eastAsia="zh-CN"/>
    </w:rPr>
  </w:style>
  <w:style w:type="paragraph" w:styleId="ab">
    <w:name w:val="Body Text"/>
    <w:basedOn w:val="a"/>
    <w:link w:val="ac"/>
    <w:autoRedefine/>
    <w:rsid w:val="00973AD4"/>
    <w:pPr>
      <w:spacing w:line="360" w:lineRule="auto"/>
      <w:contextualSpacing/>
      <w:jc w:val="center"/>
    </w:pPr>
    <w:rPr>
      <w:sz w:val="20"/>
      <w:lang w:val="en-GB" w:eastAsia="en-US"/>
    </w:rPr>
  </w:style>
  <w:style w:type="character" w:customStyle="1" w:styleId="ac">
    <w:name w:val="本文 (文字)"/>
    <w:basedOn w:val="a0"/>
    <w:link w:val="ab"/>
    <w:rsid w:val="00973AD4"/>
    <w:rPr>
      <w:szCs w:val="24"/>
      <w:lang w:val="en-GB"/>
    </w:rPr>
  </w:style>
  <w:style w:type="table" w:styleId="ad">
    <w:name w:val="Table Grid"/>
    <w:basedOn w:val="a1"/>
    <w:uiPriority w:val="59"/>
    <w:rsid w:val="00724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ft">
    <w:name w:val="Left"/>
    <w:rsid w:val="00D74CAC"/>
    <w:pPr>
      <w:widowControl w:val="0"/>
      <w:autoSpaceDE w:val="0"/>
      <w:autoSpaceDN w:val="0"/>
      <w:adjustRightInd w:val="0"/>
    </w:pPr>
    <w:rPr>
      <w:sz w:val="24"/>
      <w:szCs w:val="24"/>
      <w:lang w:eastAsia="zh-CN"/>
    </w:rPr>
  </w:style>
  <w:style w:type="paragraph" w:styleId="ae">
    <w:name w:val="List Paragraph"/>
    <w:basedOn w:val="a"/>
    <w:uiPriority w:val="99"/>
    <w:qFormat/>
    <w:rsid w:val="0056756F"/>
    <w:pPr>
      <w:widowControl w:val="0"/>
      <w:ind w:left="720"/>
      <w:jc w:val="both"/>
    </w:pPr>
    <w:rPr>
      <w:kern w:val="2"/>
      <w:sz w:val="21"/>
      <w:lang w:val="en-US"/>
    </w:rPr>
  </w:style>
  <w:style w:type="paragraph" w:customStyle="1" w:styleId="PaperTitle">
    <w:name w:val="PaperTitle"/>
    <w:basedOn w:val="a"/>
    <w:rsid w:val="0056756F"/>
    <w:pPr>
      <w:overflowPunct w:val="0"/>
      <w:autoSpaceDE w:val="0"/>
      <w:autoSpaceDN w:val="0"/>
      <w:adjustRightInd w:val="0"/>
      <w:spacing w:before="40" w:after="40"/>
      <w:ind w:left="144"/>
      <w:textAlignment w:val="baseline"/>
    </w:pPr>
    <w:rPr>
      <w:rFonts w:eastAsia="Times New Roman"/>
      <w:b/>
      <w:sz w:val="36"/>
      <w:szCs w:val="20"/>
      <w:lang w:val="en-US" w:eastAsia="en-US"/>
    </w:rPr>
  </w:style>
  <w:style w:type="character" w:customStyle="1" w:styleId="20">
    <w:name w:val="見出し 2 (文字)"/>
    <w:basedOn w:val="a0"/>
    <w:link w:val="2"/>
    <w:uiPriority w:val="9"/>
    <w:rsid w:val="00080C4B"/>
    <w:rPr>
      <w:rFonts w:eastAsia="Times New Roman"/>
      <w:b/>
      <w:bCs/>
      <w:sz w:val="36"/>
      <w:szCs w:val="36"/>
      <w:lang w:eastAsia="ja-JP"/>
    </w:rPr>
  </w:style>
  <w:style w:type="paragraph" w:styleId="Web">
    <w:name w:val="Normal (Web)"/>
    <w:basedOn w:val="a"/>
    <w:uiPriority w:val="99"/>
    <w:rsid w:val="00E551AA"/>
    <w:pPr>
      <w:spacing w:before="100" w:beforeAutospacing="1" w:after="100" w:afterAutospacing="1"/>
    </w:pPr>
    <w:rPr>
      <w:rFonts w:eastAsia="Times New Roman"/>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3859">
      <w:bodyDiv w:val="1"/>
      <w:marLeft w:val="0"/>
      <w:marRight w:val="0"/>
      <w:marTop w:val="0"/>
      <w:marBottom w:val="0"/>
      <w:divBdr>
        <w:top w:val="none" w:sz="0" w:space="0" w:color="auto"/>
        <w:left w:val="none" w:sz="0" w:space="0" w:color="auto"/>
        <w:bottom w:val="none" w:sz="0" w:space="0" w:color="auto"/>
        <w:right w:val="none" w:sz="0" w:space="0" w:color="auto"/>
      </w:divBdr>
    </w:div>
    <w:div w:id="10315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F08F-8FED-40FE-B773-B16B4FC1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4712</Words>
  <Characters>26865</Characters>
  <Application>Microsoft Office Word</Application>
  <DocSecurity>0</DocSecurity>
  <Lines>223</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Malaysian Journal of Civil Engineering *(*):*-* (*)</vt:lpstr>
      <vt:lpstr>Malaysian Journal of Civil Engineering 25(1):45-57 (2013)</vt:lpstr>
    </vt:vector>
  </TitlesOfParts>
  <Company>Microsoft User</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Journal of Civil Engineering *(*):*-* (*)</dc:title>
  <dc:creator>Microsoft User</dc:creator>
  <cp:lastModifiedBy>堤隆</cp:lastModifiedBy>
  <cp:revision>3</cp:revision>
  <cp:lastPrinted>2013-06-27T16:27:00Z</cp:lastPrinted>
  <dcterms:created xsi:type="dcterms:W3CDTF">2017-03-17T05:11:00Z</dcterms:created>
  <dcterms:modified xsi:type="dcterms:W3CDTF">2017-03-17T05:15:00Z</dcterms:modified>
</cp:coreProperties>
</file>